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D8358" w14:textId="77777777" w:rsidR="002540F3" w:rsidRDefault="00CF30EF" w:rsidP="00CF30EF">
      <w:pPr>
        <w:pStyle w:val="Titolo1"/>
        <w:jc w:val="center"/>
        <w:rPr>
          <w:rFonts w:ascii="Times New Roman" w:hAnsi="Times New Roman" w:cs="Times New Roman"/>
          <w:color w:val="auto"/>
          <w:sz w:val="24"/>
          <w:szCs w:val="24"/>
          <w:lang w:val="en-US"/>
        </w:rPr>
      </w:pPr>
      <w:r w:rsidRPr="00B65920">
        <w:rPr>
          <w:rFonts w:ascii="Times New Roman" w:hAnsi="Times New Roman" w:cs="Times New Roman"/>
          <w:color w:val="auto"/>
          <w:sz w:val="24"/>
          <w:szCs w:val="24"/>
          <w:lang w:val="en-US"/>
        </w:rPr>
        <w:t>Supporting Information</w:t>
      </w:r>
    </w:p>
    <w:p w14:paraId="5167302B" w14:textId="77777777" w:rsidR="00DA5F81" w:rsidRDefault="00DA5F81" w:rsidP="00DA5F81">
      <w:pPr>
        <w:rPr>
          <w:rFonts w:eastAsia="TimesNewRomanPSMT" w:cs="Times New Roman"/>
          <w:b/>
          <w:color w:val="000000"/>
          <w:lang w:val="en-US"/>
        </w:rPr>
      </w:pPr>
    </w:p>
    <w:p w14:paraId="5A13C5CA" w14:textId="5B7F5C16" w:rsidR="00DA5F81" w:rsidRPr="00353600" w:rsidRDefault="00DA5F81" w:rsidP="00DA5F81">
      <w:pPr>
        <w:rPr>
          <w:lang w:val="en-US"/>
        </w:rPr>
      </w:pPr>
      <w:r w:rsidRPr="00353600">
        <w:rPr>
          <w:rFonts w:eastAsia="TimesNewRomanPSMT" w:cs="Times New Roman"/>
          <w:b/>
          <w:color w:val="000000"/>
          <w:lang w:val="en-US"/>
        </w:rPr>
        <w:t xml:space="preserve">Evaluating the </w:t>
      </w:r>
      <w:r w:rsidR="007C7619">
        <w:rPr>
          <w:rFonts w:eastAsia="TimesNewRomanPSMT" w:cs="Times New Roman"/>
          <w:b/>
          <w:color w:val="000000"/>
          <w:lang w:val="en-US"/>
        </w:rPr>
        <w:t>mutagenic</w:t>
      </w:r>
      <w:r w:rsidRPr="00353600">
        <w:rPr>
          <w:rFonts w:eastAsia="TimesNewRomanPSMT" w:cs="Times New Roman"/>
          <w:b/>
          <w:color w:val="000000"/>
          <w:lang w:val="en-US"/>
        </w:rPr>
        <w:t xml:space="preserve"> potential of aerosol organic compounds using informatics based screening</w:t>
      </w:r>
      <w:r w:rsidRPr="00353600">
        <w:rPr>
          <w:lang w:val="en-US"/>
        </w:rPr>
        <w:t xml:space="preserve"> </w:t>
      </w:r>
    </w:p>
    <w:p w14:paraId="4397C367" w14:textId="77777777" w:rsidR="00DA5F81" w:rsidRPr="00A57D90" w:rsidRDefault="00DA5F81" w:rsidP="00DA5F81">
      <w:pPr>
        <w:rPr>
          <w:lang w:val="en-US"/>
        </w:rPr>
      </w:pPr>
      <w:bookmarkStart w:id="0" w:name="_GoBack"/>
      <w:bookmarkEnd w:id="0"/>
    </w:p>
    <w:p w14:paraId="30302B46" w14:textId="77777777" w:rsidR="00DA5F81" w:rsidRPr="00DD0393" w:rsidRDefault="00DA5F81" w:rsidP="00DA5F81">
      <w:r w:rsidRPr="00DD0393">
        <w:t>Stefano Decesari</w:t>
      </w:r>
      <w:r w:rsidRPr="00DD0393">
        <w:rPr>
          <w:vertAlign w:val="superscript"/>
        </w:rPr>
        <w:t>1</w:t>
      </w:r>
      <w:r w:rsidRPr="00625EED">
        <w:t>*</w:t>
      </w:r>
      <w:r w:rsidRPr="00DD0393">
        <w:t xml:space="preserve">, </w:t>
      </w:r>
      <w:r w:rsidRPr="00C725E5">
        <w:t>Simona Kovarich</w:t>
      </w:r>
      <w:r w:rsidRPr="00DD0393">
        <w:rPr>
          <w:vertAlign w:val="superscript"/>
        </w:rPr>
        <w:t>2</w:t>
      </w:r>
      <w:r w:rsidRPr="00C725E5">
        <w:t>; Manuela Pavan</w:t>
      </w:r>
      <w:r w:rsidRPr="00DD0393">
        <w:rPr>
          <w:vertAlign w:val="superscript"/>
        </w:rPr>
        <w:t>2</w:t>
      </w:r>
      <w:r w:rsidRPr="00C725E5">
        <w:t>; Arianna Bassan</w:t>
      </w:r>
      <w:r w:rsidRPr="00DD0393">
        <w:rPr>
          <w:vertAlign w:val="superscript"/>
        </w:rPr>
        <w:t>2</w:t>
      </w:r>
      <w:r w:rsidRPr="00C725E5">
        <w:t>; Andrea Ciacci</w:t>
      </w:r>
      <w:r w:rsidRPr="00DD0393">
        <w:rPr>
          <w:vertAlign w:val="superscript"/>
        </w:rPr>
        <w:t>2</w:t>
      </w:r>
      <w:r>
        <w:t xml:space="preserve">, </w:t>
      </w:r>
      <w:r w:rsidRPr="00DD0393">
        <w:t>David Topping</w:t>
      </w:r>
      <w:r w:rsidRPr="00DD0393">
        <w:rPr>
          <w:vertAlign w:val="superscript"/>
        </w:rPr>
        <w:t>3,4</w:t>
      </w:r>
    </w:p>
    <w:p w14:paraId="42F8E2A3" w14:textId="77777777" w:rsidR="00DA5F81" w:rsidRPr="00625EED" w:rsidRDefault="00DA5F81" w:rsidP="00DA5F81"/>
    <w:p w14:paraId="611B689F" w14:textId="77777777" w:rsidR="00DA5F81" w:rsidRDefault="00DA5F81" w:rsidP="00DA5F81">
      <w:pPr>
        <w:rPr>
          <w:lang w:val="en-US"/>
        </w:rPr>
      </w:pPr>
      <w:r w:rsidRPr="00DD0393">
        <w:rPr>
          <w:vertAlign w:val="superscript"/>
          <w:lang w:val="en-US"/>
        </w:rPr>
        <w:t>1</w:t>
      </w:r>
      <w:r w:rsidRPr="00C725E5">
        <w:rPr>
          <w:lang w:val="en-US"/>
        </w:rPr>
        <w:t>Institute of Atmospheric Sciences and Climate</w:t>
      </w:r>
      <w:r>
        <w:rPr>
          <w:lang w:val="en-US"/>
        </w:rPr>
        <w:t>, National Research Council of Italy</w:t>
      </w:r>
      <w:r w:rsidRPr="00C725E5">
        <w:rPr>
          <w:lang w:val="en-US"/>
        </w:rPr>
        <w:t xml:space="preserve"> (ISAC-CNR)</w:t>
      </w:r>
    </w:p>
    <w:p w14:paraId="73897AB1" w14:textId="77777777" w:rsidR="00DA5F81" w:rsidRPr="00625EED" w:rsidRDefault="00DA5F81" w:rsidP="00DA5F81">
      <w:pPr>
        <w:rPr>
          <w:lang w:val="en-US"/>
        </w:rPr>
      </w:pPr>
      <w:r w:rsidRPr="00625EED">
        <w:rPr>
          <w:vertAlign w:val="superscript"/>
          <w:lang w:val="en-US"/>
        </w:rPr>
        <w:t>2</w:t>
      </w:r>
      <w:r w:rsidRPr="00625EED">
        <w:rPr>
          <w:lang w:val="en-US"/>
        </w:rPr>
        <w:t xml:space="preserve"> S-IN Soluzioni Informatiche Srl</w:t>
      </w:r>
    </w:p>
    <w:p w14:paraId="7C34DDD2" w14:textId="77777777" w:rsidR="00DA5F81" w:rsidRDefault="00DA5F81" w:rsidP="00DA5F81">
      <w:pPr>
        <w:rPr>
          <w:lang w:val="en-US"/>
        </w:rPr>
      </w:pPr>
      <w:r w:rsidRPr="00DD0393">
        <w:rPr>
          <w:vertAlign w:val="superscript"/>
          <w:lang w:val="en-US"/>
        </w:rPr>
        <w:t>3</w:t>
      </w:r>
      <w:r>
        <w:rPr>
          <w:lang w:val="en-US"/>
        </w:rPr>
        <w:t>-</w:t>
      </w:r>
      <w:r w:rsidRPr="00C725E5">
        <w:rPr>
          <w:lang w:val="en-US"/>
        </w:rPr>
        <w:t>School of Earth, Atmospheric and Environmental Sciences</w:t>
      </w:r>
      <w:r>
        <w:rPr>
          <w:lang w:val="en-US"/>
        </w:rPr>
        <w:t xml:space="preserve">, </w:t>
      </w:r>
      <w:r w:rsidRPr="00C725E5">
        <w:rPr>
          <w:lang w:val="en-US"/>
        </w:rPr>
        <w:t>The University of Manchester</w:t>
      </w:r>
    </w:p>
    <w:p w14:paraId="132EB582" w14:textId="77777777" w:rsidR="00DA5F81" w:rsidRDefault="00DA5F81" w:rsidP="00DA5F81">
      <w:pPr>
        <w:rPr>
          <w:lang w:val="en-US"/>
        </w:rPr>
      </w:pPr>
      <w:r w:rsidRPr="00DD0393">
        <w:rPr>
          <w:vertAlign w:val="superscript"/>
          <w:lang w:val="en-US"/>
        </w:rPr>
        <w:t>4</w:t>
      </w:r>
      <w:r>
        <w:rPr>
          <w:lang w:val="en-US"/>
        </w:rPr>
        <w:t>-National Centre for Atmospheric Science, The University of Manchester</w:t>
      </w:r>
    </w:p>
    <w:p w14:paraId="1F60DA4D" w14:textId="01F5E537" w:rsidR="00DA5F81" w:rsidRPr="00DA5F81" w:rsidRDefault="00DA5F81" w:rsidP="00DA5F81">
      <w:pPr>
        <w:rPr>
          <w:lang w:val="en-US"/>
        </w:rPr>
      </w:pPr>
      <w:r>
        <w:rPr>
          <w:lang w:val="en-US"/>
        </w:rPr>
        <w:t>*Corresponding author: s.decesari@isac.cnr.it</w:t>
      </w:r>
    </w:p>
    <w:p w14:paraId="275969E2" w14:textId="77777777" w:rsidR="00DA5F81" w:rsidRDefault="00DA5F81" w:rsidP="00CF30EF">
      <w:pPr>
        <w:rPr>
          <w:lang w:val="en-US"/>
        </w:rPr>
      </w:pPr>
    </w:p>
    <w:p w14:paraId="6EB499D6" w14:textId="7A23264C" w:rsidR="00CF30EF" w:rsidRPr="00DA5F81" w:rsidRDefault="00DA5F81" w:rsidP="00CF30EF">
      <w:pPr>
        <w:rPr>
          <w:b/>
          <w:lang w:val="en-US"/>
        </w:rPr>
      </w:pPr>
      <w:r w:rsidRPr="00DA5F81">
        <w:rPr>
          <w:b/>
          <w:lang w:val="en-US"/>
        </w:rPr>
        <w:t>Number of tables:</w:t>
      </w:r>
      <w:r>
        <w:rPr>
          <w:b/>
          <w:lang w:val="en-US"/>
        </w:rPr>
        <w:t xml:space="preserve"> </w:t>
      </w:r>
      <w:r w:rsidR="00936244">
        <w:rPr>
          <w:b/>
          <w:lang w:val="en-US"/>
        </w:rPr>
        <w:t>10</w:t>
      </w:r>
      <w:r>
        <w:rPr>
          <w:b/>
          <w:lang w:val="en-US"/>
        </w:rPr>
        <w:t xml:space="preserve"> (</w:t>
      </w:r>
      <w:r w:rsidR="00BB0A4C">
        <w:rPr>
          <w:b/>
          <w:lang w:val="en-US"/>
        </w:rPr>
        <w:t>5</w:t>
      </w:r>
      <w:r>
        <w:rPr>
          <w:b/>
          <w:lang w:val="en-US"/>
        </w:rPr>
        <w:t xml:space="preserve"> of which provided in full extent as attached Excel files)</w:t>
      </w:r>
    </w:p>
    <w:p w14:paraId="10F2540D" w14:textId="4377F4DC" w:rsidR="00DA5F81" w:rsidRPr="00DA5F81" w:rsidRDefault="00DA5F81" w:rsidP="00CF30EF">
      <w:pPr>
        <w:rPr>
          <w:b/>
          <w:lang w:val="en-US"/>
        </w:rPr>
      </w:pPr>
      <w:r w:rsidRPr="00DA5F81">
        <w:rPr>
          <w:b/>
          <w:lang w:val="en-US"/>
        </w:rPr>
        <w:t xml:space="preserve">Number of figures: </w:t>
      </w:r>
      <w:r w:rsidR="00936244">
        <w:rPr>
          <w:b/>
          <w:lang w:val="en-US"/>
        </w:rPr>
        <w:t>2</w:t>
      </w:r>
    </w:p>
    <w:p w14:paraId="2AB9CA39" w14:textId="7B4DA093" w:rsidR="00DA5F81" w:rsidRDefault="00DA5F81" w:rsidP="00CF30EF">
      <w:pPr>
        <w:rPr>
          <w:lang w:val="en-US"/>
        </w:rPr>
      </w:pPr>
      <w:r>
        <w:rPr>
          <w:lang w:val="en-US"/>
        </w:rPr>
        <w:br w:type="page"/>
      </w:r>
    </w:p>
    <w:p w14:paraId="217EA2E7" w14:textId="369C4B92" w:rsidR="00B65920" w:rsidRPr="00785913" w:rsidRDefault="00B65920" w:rsidP="009D1E0E">
      <w:pPr>
        <w:pStyle w:val="Titolo2"/>
        <w:rPr>
          <w:rStyle w:val="Titolo2Carattere"/>
          <w:rFonts w:asciiTheme="minorHAnsi" w:hAnsiTheme="minorHAnsi" w:cs="Times New Roman"/>
          <w:color w:val="auto"/>
          <w:sz w:val="22"/>
          <w:szCs w:val="22"/>
          <w:lang w:val="en-US"/>
        </w:rPr>
      </w:pPr>
      <w:r w:rsidRPr="00785913">
        <w:rPr>
          <w:rStyle w:val="Titolo2Carattere"/>
          <w:rFonts w:asciiTheme="minorHAnsi" w:hAnsiTheme="minorHAnsi" w:cs="Times New Roman"/>
          <w:b/>
          <w:color w:val="auto"/>
          <w:sz w:val="22"/>
          <w:szCs w:val="22"/>
          <w:lang w:val="en-US"/>
        </w:rPr>
        <w:lastRenderedPageBreak/>
        <w:t>Table S1</w:t>
      </w:r>
      <w:r w:rsidRPr="00785913">
        <w:rPr>
          <w:rStyle w:val="Titolo2Carattere"/>
          <w:rFonts w:asciiTheme="minorHAnsi" w:hAnsiTheme="minorHAnsi" w:cs="Times New Roman"/>
          <w:color w:val="auto"/>
          <w:sz w:val="22"/>
          <w:szCs w:val="22"/>
          <w:lang w:val="en-US"/>
        </w:rPr>
        <w:t>. List of the 104 organic compounds for QSAR analysis.</w:t>
      </w:r>
      <w:r w:rsidR="00785913">
        <w:rPr>
          <w:rStyle w:val="Titolo2Carattere"/>
          <w:rFonts w:asciiTheme="minorHAnsi" w:hAnsiTheme="minorHAnsi" w:cs="Times New Roman"/>
          <w:color w:val="auto"/>
          <w:sz w:val="22"/>
          <w:szCs w:val="22"/>
          <w:lang w:val="en-US"/>
        </w:rPr>
        <w:t xml:space="preserve"> (provided as an attached Excel file)</w:t>
      </w:r>
    </w:p>
    <w:p w14:paraId="7DF2A2C7" w14:textId="68A99DA0" w:rsidR="00E5748E" w:rsidRDefault="00E5748E">
      <w:pPr>
        <w:rPr>
          <w:lang w:val="en-US"/>
        </w:rPr>
      </w:pPr>
    </w:p>
    <w:p w14:paraId="6868A2CA" w14:textId="77777777" w:rsidR="006C5CA1" w:rsidRDefault="006C5CA1">
      <w:pPr>
        <w:rPr>
          <w:lang w:val="en-US"/>
        </w:rPr>
      </w:pPr>
    </w:p>
    <w:p w14:paraId="113A1540" w14:textId="77777777" w:rsidR="006C5CA1" w:rsidRPr="00785913" w:rsidRDefault="006C5CA1">
      <w:pPr>
        <w:rPr>
          <w:lang w:val="en-US"/>
        </w:rPr>
      </w:pPr>
    </w:p>
    <w:p w14:paraId="07D962AC" w14:textId="388931CA" w:rsidR="00570E14" w:rsidRPr="00AE37CA" w:rsidRDefault="00570E14" w:rsidP="00570E14">
      <w:pPr>
        <w:pStyle w:val="Titolo2"/>
        <w:rPr>
          <w:rFonts w:asciiTheme="minorHAnsi" w:hAnsiTheme="minorHAnsi" w:cs="Times New Roman"/>
          <w:b w:val="0"/>
          <w:color w:val="auto"/>
          <w:sz w:val="22"/>
          <w:szCs w:val="22"/>
          <w:lang w:val="en-US"/>
        </w:rPr>
      </w:pPr>
      <w:r w:rsidRPr="00AE37CA">
        <w:rPr>
          <w:rStyle w:val="Titolo2Carattere"/>
          <w:rFonts w:asciiTheme="minorHAnsi" w:hAnsiTheme="minorHAnsi" w:cs="Times New Roman"/>
          <w:b/>
          <w:color w:val="auto"/>
          <w:sz w:val="22"/>
          <w:szCs w:val="22"/>
          <w:lang w:val="en-US"/>
        </w:rPr>
        <w:t>Table S2.</w:t>
      </w:r>
      <w:r w:rsidRPr="00AE37CA">
        <w:rPr>
          <w:rFonts w:asciiTheme="minorHAnsi" w:hAnsiTheme="minorHAnsi" w:cs="Times New Roman"/>
          <w:b w:val="0"/>
          <w:color w:val="auto"/>
          <w:sz w:val="22"/>
          <w:szCs w:val="22"/>
          <w:lang w:val="en-US"/>
        </w:rPr>
        <w:t xml:space="preserve"> OECD QSAR Toolbox description and Profilers for genotoxicity.</w:t>
      </w:r>
    </w:p>
    <w:tbl>
      <w:tblPr>
        <w:tblStyle w:val="Sfondochiaro"/>
        <w:tblW w:w="0" w:type="auto"/>
        <w:tblLook w:val="06A0" w:firstRow="1" w:lastRow="0" w:firstColumn="1" w:lastColumn="0" w:noHBand="1" w:noVBand="1"/>
      </w:tblPr>
      <w:tblGrid>
        <w:gridCol w:w="1668"/>
        <w:gridCol w:w="6378"/>
        <w:gridCol w:w="1732"/>
      </w:tblGrid>
      <w:tr w:rsidR="00043CF2" w:rsidRPr="00AE37CA" w14:paraId="2EC6F615" w14:textId="77777777" w:rsidTr="006E3B7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8" w:type="dxa"/>
            <w:shd w:val="clear" w:color="auto" w:fill="BFBFBF" w:themeFill="background1" w:themeFillShade="BF"/>
          </w:tcPr>
          <w:p w14:paraId="30C7496D" w14:textId="01365F0C" w:rsidR="00043CF2" w:rsidRPr="00AE37CA" w:rsidRDefault="001B0804" w:rsidP="007A0382">
            <w:pPr>
              <w:spacing w:after="120"/>
              <w:rPr>
                <w:rFonts w:cs="Times New Roman"/>
                <w:sz w:val="20"/>
                <w:szCs w:val="20"/>
                <w:lang w:val="en-US"/>
              </w:rPr>
            </w:pPr>
            <w:r w:rsidRPr="00AE37CA">
              <w:rPr>
                <w:rFonts w:cs="Times New Roman"/>
                <w:bCs w:val="0"/>
                <w:sz w:val="20"/>
                <w:szCs w:val="20"/>
                <w:lang w:val="en-US"/>
              </w:rPr>
              <w:t>Tool</w:t>
            </w:r>
          </w:p>
        </w:tc>
        <w:tc>
          <w:tcPr>
            <w:tcW w:w="8110" w:type="dxa"/>
            <w:gridSpan w:val="2"/>
            <w:shd w:val="clear" w:color="auto" w:fill="BFBFBF" w:themeFill="background1" w:themeFillShade="BF"/>
          </w:tcPr>
          <w:p w14:paraId="6858B93B" w14:textId="77777777" w:rsidR="00043CF2" w:rsidRPr="00AE37CA" w:rsidRDefault="00043CF2" w:rsidP="007A0382">
            <w:pPr>
              <w:spacing w:after="120"/>
              <w:cnfStyle w:val="100000000000" w:firstRow="1" w:lastRow="0" w:firstColumn="0" w:lastColumn="0" w:oddVBand="0" w:evenVBand="0" w:oddHBand="0" w:evenHBand="0" w:firstRowFirstColumn="0" w:firstRowLastColumn="0" w:lastRowFirstColumn="0" w:lastRowLastColumn="0"/>
              <w:rPr>
                <w:rFonts w:cs="Times New Roman"/>
                <w:sz w:val="20"/>
                <w:szCs w:val="20"/>
                <w:lang w:val="en-US"/>
              </w:rPr>
            </w:pPr>
            <w:r w:rsidRPr="00AE37CA">
              <w:rPr>
                <w:rFonts w:cs="Times New Roman"/>
                <w:bCs w:val="0"/>
                <w:sz w:val="20"/>
                <w:szCs w:val="20"/>
                <w:lang w:val="en-US"/>
              </w:rPr>
              <w:t>Information</w:t>
            </w:r>
          </w:p>
        </w:tc>
      </w:tr>
      <w:tr w:rsidR="00043CF2" w:rsidRPr="007C7619" w14:paraId="6F8E85C0" w14:textId="77777777" w:rsidTr="006E3B7C">
        <w:tc>
          <w:tcPr>
            <w:cnfStyle w:val="001000000000" w:firstRow="0" w:lastRow="0" w:firstColumn="1" w:lastColumn="0" w:oddVBand="0" w:evenVBand="0" w:oddHBand="0" w:evenHBand="0" w:firstRowFirstColumn="0" w:firstRowLastColumn="0" w:lastRowFirstColumn="0" w:lastRowLastColumn="0"/>
            <w:tcW w:w="1668" w:type="dxa"/>
            <w:tcBorders>
              <w:top w:val="single" w:sz="8" w:space="0" w:color="000000" w:themeColor="text1"/>
              <w:bottom w:val="single" w:sz="4" w:space="0" w:color="auto"/>
            </w:tcBorders>
          </w:tcPr>
          <w:p w14:paraId="21DB61D1" w14:textId="0F553AF6" w:rsidR="00043CF2" w:rsidRPr="00AE37CA" w:rsidRDefault="001B0804" w:rsidP="007A0382">
            <w:pPr>
              <w:spacing w:after="120"/>
              <w:rPr>
                <w:rFonts w:cs="Times New Roman"/>
                <w:sz w:val="20"/>
                <w:szCs w:val="20"/>
                <w:lang w:val="en-US"/>
              </w:rPr>
            </w:pPr>
            <w:r w:rsidRPr="00AE37CA">
              <w:rPr>
                <w:rFonts w:cs="Times New Roman"/>
                <w:bCs w:val="0"/>
                <w:sz w:val="20"/>
                <w:szCs w:val="20"/>
                <w:lang w:val="en-GB" w:eastAsia="it-IT"/>
              </w:rPr>
              <w:t>OECD QSAR Toolbox</w:t>
            </w:r>
          </w:p>
        </w:tc>
        <w:tc>
          <w:tcPr>
            <w:tcW w:w="8110" w:type="dxa"/>
            <w:gridSpan w:val="2"/>
            <w:tcBorders>
              <w:top w:val="single" w:sz="8" w:space="0" w:color="000000" w:themeColor="text1"/>
              <w:bottom w:val="single" w:sz="4" w:space="0" w:color="auto"/>
            </w:tcBorders>
          </w:tcPr>
          <w:p w14:paraId="78444EC3" w14:textId="24737774" w:rsidR="00043CF2" w:rsidRPr="00AE37CA" w:rsidRDefault="001B0804" w:rsidP="001B0804">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AE37CA">
              <w:rPr>
                <w:rFonts w:cs="Times New Roman"/>
                <w:sz w:val="20"/>
                <w:szCs w:val="20"/>
                <w:lang w:val="en-US"/>
              </w:rPr>
              <w:t xml:space="preserve">The OECD QSAR Toolbox (version 3.3, 2015) is a software application developed by the Organization for Economic Cooperation and Development (OECD) to use (Q)SAR methodologies to group chemicals into categories and to fill data gaps by read-across and trend analysis. The OECD (Q)SAR Application Toolbox is intended to be used by governments, chemical industry and other stakeholders in filling gaps in (eco)toxicity data needed for assessing the hazards of chemicals. It is currently recommended and released by the European Chemicals Agency (ECHA) in collaboration with OECD. The Toolbox incorporates information and tools from various sources into a logical workflow. Crucial to this workflow is grouping chemicals into chemical categories. The seminal features of the Toolbox are the identification of relevant structural characteristics and potential mechanism or mode of action of a target compound, the identification of other chemicals that have the same structural characteristics and/or mechanism or mode of action and the use of existing experimental data to fill the data gap(s) . </w:t>
            </w:r>
          </w:p>
        </w:tc>
      </w:tr>
      <w:tr w:rsidR="001B0804" w:rsidRPr="00AE37CA" w14:paraId="7A13F218" w14:textId="77777777" w:rsidTr="006E3B7C">
        <w:trPr>
          <w:trHeight w:val="369"/>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bottom w:val="single" w:sz="4" w:space="0" w:color="auto"/>
            </w:tcBorders>
            <w:shd w:val="clear" w:color="auto" w:fill="BFBFBF" w:themeFill="background1" w:themeFillShade="BF"/>
          </w:tcPr>
          <w:p w14:paraId="1D1FE511" w14:textId="2416DF29" w:rsidR="001B0804" w:rsidRPr="00AE37CA" w:rsidRDefault="001B0804" w:rsidP="007A0382">
            <w:pPr>
              <w:spacing w:after="120"/>
              <w:rPr>
                <w:rFonts w:cs="Times New Roman"/>
                <w:bCs w:val="0"/>
                <w:sz w:val="20"/>
                <w:szCs w:val="20"/>
                <w:lang w:val="en-GB" w:eastAsia="it-IT"/>
              </w:rPr>
            </w:pPr>
            <w:r w:rsidRPr="00AE37CA">
              <w:rPr>
                <w:rFonts w:cs="Times New Roman"/>
                <w:bCs w:val="0"/>
                <w:sz w:val="20"/>
                <w:szCs w:val="20"/>
                <w:lang w:val="en-GB" w:eastAsia="it-IT"/>
              </w:rPr>
              <w:t>Toolbox Profiler</w:t>
            </w:r>
          </w:p>
        </w:tc>
        <w:tc>
          <w:tcPr>
            <w:tcW w:w="6378" w:type="dxa"/>
            <w:tcBorders>
              <w:top w:val="single" w:sz="4" w:space="0" w:color="auto"/>
              <w:bottom w:val="single" w:sz="4" w:space="0" w:color="auto"/>
            </w:tcBorders>
            <w:shd w:val="clear" w:color="auto" w:fill="BFBFBF" w:themeFill="background1" w:themeFillShade="BF"/>
          </w:tcPr>
          <w:p w14:paraId="687BC49E" w14:textId="77777777" w:rsidR="001B0804" w:rsidRPr="00AE37CA" w:rsidRDefault="001B0804" w:rsidP="007A0382">
            <w:pPr>
              <w:spacing w:after="120"/>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eastAsia="it-IT"/>
              </w:rPr>
            </w:pPr>
            <w:r w:rsidRPr="00AE37CA">
              <w:rPr>
                <w:rFonts w:cs="Times New Roman"/>
                <w:b/>
                <w:sz w:val="20"/>
                <w:szCs w:val="20"/>
                <w:lang w:val="en-GB" w:eastAsia="it-IT"/>
              </w:rPr>
              <w:t>Information</w:t>
            </w:r>
          </w:p>
        </w:tc>
        <w:tc>
          <w:tcPr>
            <w:tcW w:w="1732" w:type="dxa"/>
            <w:tcBorders>
              <w:top w:val="single" w:sz="4" w:space="0" w:color="auto"/>
              <w:bottom w:val="single" w:sz="4" w:space="0" w:color="auto"/>
            </w:tcBorders>
            <w:shd w:val="clear" w:color="auto" w:fill="BFBFBF" w:themeFill="background1" w:themeFillShade="BF"/>
          </w:tcPr>
          <w:p w14:paraId="6BA37D89" w14:textId="6F32C713" w:rsidR="001B0804" w:rsidRPr="00AE37CA" w:rsidRDefault="001B0804" w:rsidP="007A0382">
            <w:pPr>
              <w:spacing w:after="120"/>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eastAsia="it-IT"/>
              </w:rPr>
            </w:pPr>
            <w:r w:rsidRPr="00AE37CA">
              <w:rPr>
                <w:rFonts w:cs="Times New Roman"/>
                <w:b/>
                <w:sz w:val="20"/>
                <w:szCs w:val="20"/>
                <w:lang w:val="en-GB" w:eastAsia="it-IT"/>
              </w:rPr>
              <w:t>Descriptor type</w:t>
            </w:r>
          </w:p>
        </w:tc>
      </w:tr>
      <w:tr w:rsidR="001B0804" w:rsidRPr="00AE37CA" w14:paraId="580E1643" w14:textId="77777777" w:rsidTr="006E3B7C">
        <w:trPr>
          <w:trHeight w:val="369"/>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bottom w:val="nil"/>
            </w:tcBorders>
          </w:tcPr>
          <w:p w14:paraId="63ACB283" w14:textId="77777777" w:rsidR="001B0804" w:rsidRPr="00AE37CA" w:rsidRDefault="001B0804" w:rsidP="001B0804">
            <w:pPr>
              <w:spacing w:after="120"/>
              <w:rPr>
                <w:rFonts w:cs="Times New Roman"/>
                <w:sz w:val="20"/>
                <w:szCs w:val="20"/>
                <w:lang w:val="en-US" w:eastAsia="it-IT"/>
              </w:rPr>
            </w:pPr>
            <w:r w:rsidRPr="00AE37CA">
              <w:rPr>
                <w:rFonts w:cs="Times New Roman"/>
                <w:sz w:val="20"/>
                <w:szCs w:val="20"/>
                <w:lang w:val="en-US" w:eastAsia="it-IT"/>
              </w:rPr>
              <w:t>DNA binding by OASIS v.1.3</w:t>
            </w:r>
          </w:p>
          <w:p w14:paraId="2779A2CD" w14:textId="77777777" w:rsidR="001B0804" w:rsidRPr="00AE37CA" w:rsidRDefault="001B0804" w:rsidP="007A0382">
            <w:pPr>
              <w:spacing w:after="120"/>
              <w:rPr>
                <w:rFonts w:cs="Times New Roman"/>
                <w:bCs w:val="0"/>
                <w:sz w:val="20"/>
                <w:szCs w:val="20"/>
                <w:lang w:val="en-US" w:eastAsia="it-IT"/>
              </w:rPr>
            </w:pPr>
          </w:p>
        </w:tc>
        <w:tc>
          <w:tcPr>
            <w:tcW w:w="6378" w:type="dxa"/>
            <w:tcBorders>
              <w:top w:val="single" w:sz="4" w:space="0" w:color="auto"/>
              <w:bottom w:val="nil"/>
            </w:tcBorders>
          </w:tcPr>
          <w:p w14:paraId="006763B3" w14:textId="28F41819"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US" w:eastAsia="it-IT"/>
              </w:rPr>
              <w:t>I</w:t>
            </w:r>
            <w:r w:rsidRPr="00AE37CA">
              <w:rPr>
                <w:rFonts w:cs="Times New Roman"/>
                <w:sz w:val="20"/>
                <w:szCs w:val="20"/>
                <w:lang w:val="en-GB" w:eastAsia="it-IT"/>
              </w:rPr>
              <w:t>t was developed from an analysis of Ames mutagenicity data. The structural alerts within this profiler are detailed by Mekenyan et al. (2004)  and Serafimova et al. (2007). The profiler was based on the 78 structural alerts responsible for interaction with DNA analyzed in Ames Mutagenicity model. The scope of the profiler is to investigate presence of alerts within target molecules responsible for interaction with DNA. The list of 78 structural alerts has been separated into seven mechanistic domains. Each of the mechanistic domains has been separated into more than 12 mechanistic alerts. The profiling result outcome assigns a target to the corresponding structural alert, mechanistic alerts and domain.</w:t>
            </w:r>
          </w:p>
        </w:tc>
        <w:tc>
          <w:tcPr>
            <w:tcW w:w="1732" w:type="dxa"/>
            <w:tcBorders>
              <w:top w:val="single" w:sz="4" w:space="0" w:color="auto"/>
              <w:bottom w:val="nil"/>
            </w:tcBorders>
          </w:tcPr>
          <w:p w14:paraId="1968799C" w14:textId="2FF9FFCB"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GB" w:eastAsia="it-IT"/>
              </w:rPr>
              <w:t>Mechanistic profile</w:t>
            </w:r>
          </w:p>
        </w:tc>
      </w:tr>
      <w:tr w:rsidR="001B0804" w:rsidRPr="00AE37CA" w14:paraId="638B1B26" w14:textId="77777777" w:rsidTr="006E3B7C">
        <w:trPr>
          <w:trHeight w:val="369"/>
        </w:trPr>
        <w:tc>
          <w:tcPr>
            <w:cnfStyle w:val="001000000000" w:firstRow="0" w:lastRow="0" w:firstColumn="1" w:lastColumn="0" w:oddVBand="0" w:evenVBand="0" w:oddHBand="0" w:evenHBand="0" w:firstRowFirstColumn="0" w:firstRowLastColumn="0" w:lastRowFirstColumn="0" w:lastRowLastColumn="0"/>
            <w:tcW w:w="1668" w:type="dxa"/>
            <w:tcBorders>
              <w:top w:val="nil"/>
              <w:bottom w:val="nil"/>
            </w:tcBorders>
          </w:tcPr>
          <w:p w14:paraId="5FDAA031" w14:textId="77777777" w:rsidR="006E3B7C" w:rsidRPr="00AE37CA" w:rsidRDefault="006E3B7C" w:rsidP="006E3B7C">
            <w:pPr>
              <w:spacing w:after="120"/>
              <w:rPr>
                <w:rFonts w:cs="Times New Roman"/>
                <w:sz w:val="20"/>
                <w:szCs w:val="20"/>
                <w:lang w:eastAsia="it-IT"/>
              </w:rPr>
            </w:pPr>
            <w:r w:rsidRPr="00AE37CA">
              <w:rPr>
                <w:rFonts w:cs="Times New Roman"/>
                <w:sz w:val="20"/>
                <w:szCs w:val="20"/>
                <w:lang w:eastAsia="it-IT"/>
              </w:rPr>
              <w:t>DNA binding by OECD</w:t>
            </w:r>
          </w:p>
          <w:p w14:paraId="6D25F7A5" w14:textId="77777777" w:rsidR="001B0804" w:rsidRPr="00AE37CA" w:rsidRDefault="001B0804" w:rsidP="007A0382">
            <w:pPr>
              <w:spacing w:after="120"/>
              <w:rPr>
                <w:rFonts w:cs="Times New Roman"/>
                <w:bCs w:val="0"/>
                <w:sz w:val="20"/>
                <w:szCs w:val="20"/>
                <w:lang w:val="en-GB" w:eastAsia="it-IT"/>
              </w:rPr>
            </w:pPr>
          </w:p>
        </w:tc>
        <w:tc>
          <w:tcPr>
            <w:tcW w:w="6378" w:type="dxa"/>
            <w:tcBorders>
              <w:top w:val="nil"/>
              <w:bottom w:val="nil"/>
            </w:tcBorders>
          </w:tcPr>
          <w:p w14:paraId="649A76DD" w14:textId="2AC6DDA7" w:rsidR="001B0804" w:rsidRPr="00AE37CA" w:rsidRDefault="006E3B7C" w:rsidP="006E3B7C">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GB" w:eastAsia="it-IT"/>
              </w:rPr>
              <w:t>It was developed and donated to the OECD QSAR Toolbox by Dr Enoch and Prof. Cronin form Liverpool John Moores University, UK. It compiles mechanistic organic chemistry fragments (in the form of structural alerts) for the binding of organic chemicals to DNA. The profiler was created following the mapping of existing structural alerts for mutagenicity and carcinogenicity. The mapping was performed to achieve maximum overlap and usability whilst restricting redundancy in the alerts, and to ensure that the alerts related to the molecular initiating event of covalent DNA binding by OECD. It includes a total of 60 new or re-defined alerts across six broad organic chemistry mechanisms and it represents the most comprehensive listing of structural alerts for DNA binding by OECD currently available.</w:t>
            </w:r>
          </w:p>
        </w:tc>
        <w:tc>
          <w:tcPr>
            <w:tcW w:w="1732" w:type="dxa"/>
            <w:tcBorders>
              <w:top w:val="nil"/>
              <w:bottom w:val="nil"/>
            </w:tcBorders>
          </w:tcPr>
          <w:p w14:paraId="14CEFB4B" w14:textId="2F2D15CE"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eastAsia="it-IT"/>
              </w:rPr>
            </w:pPr>
            <w:r w:rsidRPr="00AE37CA">
              <w:rPr>
                <w:rFonts w:cs="Times New Roman"/>
                <w:sz w:val="20"/>
                <w:szCs w:val="20"/>
                <w:lang w:val="en-GB" w:eastAsia="it-IT"/>
              </w:rPr>
              <w:t>Mechanistic profile</w:t>
            </w:r>
          </w:p>
        </w:tc>
      </w:tr>
      <w:tr w:rsidR="001B0804" w:rsidRPr="00AE37CA" w14:paraId="0FA5364E" w14:textId="77777777" w:rsidTr="006E3B7C">
        <w:trPr>
          <w:trHeight w:val="369"/>
        </w:trPr>
        <w:tc>
          <w:tcPr>
            <w:cnfStyle w:val="001000000000" w:firstRow="0" w:lastRow="0" w:firstColumn="1" w:lastColumn="0" w:oddVBand="0" w:evenVBand="0" w:oddHBand="0" w:evenHBand="0" w:firstRowFirstColumn="0" w:firstRowLastColumn="0" w:lastRowFirstColumn="0" w:lastRowLastColumn="0"/>
            <w:tcW w:w="1668" w:type="dxa"/>
            <w:tcBorders>
              <w:top w:val="nil"/>
              <w:bottom w:val="nil"/>
            </w:tcBorders>
          </w:tcPr>
          <w:p w14:paraId="75F95239" w14:textId="403C3F99" w:rsidR="001B0804" w:rsidRPr="00AE37CA" w:rsidRDefault="006E3B7C" w:rsidP="007A0382">
            <w:pPr>
              <w:spacing w:after="120"/>
              <w:rPr>
                <w:rFonts w:cs="Times New Roman"/>
                <w:sz w:val="20"/>
                <w:szCs w:val="20"/>
                <w:lang w:val="en-US" w:eastAsia="it-IT"/>
              </w:rPr>
            </w:pPr>
            <w:r w:rsidRPr="00AE37CA">
              <w:rPr>
                <w:rFonts w:cs="Times New Roman"/>
                <w:sz w:val="20"/>
                <w:szCs w:val="20"/>
                <w:lang w:val="en-US" w:eastAsia="it-IT"/>
              </w:rPr>
              <w:t>DNA alerts for AMES, MN and CA by OASIS v.1.3</w:t>
            </w:r>
          </w:p>
        </w:tc>
        <w:tc>
          <w:tcPr>
            <w:tcW w:w="6378" w:type="dxa"/>
            <w:tcBorders>
              <w:top w:val="nil"/>
              <w:bottom w:val="nil"/>
            </w:tcBorders>
          </w:tcPr>
          <w:p w14:paraId="78D43DFB" w14:textId="0EB53A43"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US" w:eastAsia="it-IT"/>
              </w:rPr>
              <w:t>I</w:t>
            </w:r>
            <w:r w:rsidRPr="00AE37CA">
              <w:rPr>
                <w:rFonts w:cs="Times New Roman"/>
                <w:sz w:val="20"/>
                <w:szCs w:val="20"/>
                <w:lang w:val="en-GB" w:eastAsia="it-IT"/>
              </w:rPr>
              <w:t>t includes categories or chemical mechanism of DNA binding particularly relevant for genotoxic endpoints.</w:t>
            </w:r>
          </w:p>
        </w:tc>
        <w:tc>
          <w:tcPr>
            <w:tcW w:w="1732" w:type="dxa"/>
            <w:tcBorders>
              <w:top w:val="nil"/>
              <w:bottom w:val="nil"/>
            </w:tcBorders>
          </w:tcPr>
          <w:p w14:paraId="015AB382" w14:textId="1EC9B1A4"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eastAsia="it-IT"/>
              </w:rPr>
            </w:pPr>
            <w:r w:rsidRPr="00AE37CA">
              <w:rPr>
                <w:rFonts w:cs="Times New Roman"/>
                <w:sz w:val="20"/>
                <w:szCs w:val="20"/>
                <w:lang w:val="en-GB" w:eastAsia="it-IT"/>
              </w:rPr>
              <w:t>Mechanistic profile</w:t>
            </w:r>
          </w:p>
        </w:tc>
      </w:tr>
      <w:tr w:rsidR="001B0804" w:rsidRPr="00AE37CA" w14:paraId="112F1262" w14:textId="77777777" w:rsidTr="006E3B7C">
        <w:trPr>
          <w:trHeight w:val="369"/>
        </w:trPr>
        <w:tc>
          <w:tcPr>
            <w:cnfStyle w:val="001000000000" w:firstRow="0" w:lastRow="0" w:firstColumn="1" w:lastColumn="0" w:oddVBand="0" w:evenVBand="0" w:oddHBand="0" w:evenHBand="0" w:firstRowFirstColumn="0" w:firstRowLastColumn="0" w:lastRowFirstColumn="0" w:lastRowLastColumn="0"/>
            <w:tcW w:w="1668" w:type="dxa"/>
            <w:tcBorders>
              <w:top w:val="nil"/>
              <w:bottom w:val="nil"/>
            </w:tcBorders>
          </w:tcPr>
          <w:p w14:paraId="23913BC2" w14:textId="3542EB28" w:rsidR="001B0804" w:rsidRPr="00AE37CA" w:rsidRDefault="006E3B7C" w:rsidP="007A0382">
            <w:pPr>
              <w:spacing w:after="120"/>
              <w:rPr>
                <w:rFonts w:cs="Times New Roman"/>
                <w:sz w:val="20"/>
                <w:szCs w:val="20"/>
                <w:lang w:val="en-US" w:eastAsia="it-IT"/>
              </w:rPr>
            </w:pPr>
            <w:r w:rsidRPr="00AE37CA">
              <w:rPr>
                <w:rFonts w:cs="Times New Roman"/>
                <w:i/>
                <w:iCs/>
                <w:sz w:val="20"/>
                <w:szCs w:val="20"/>
                <w:lang w:val="en-US" w:eastAsia="it-IT"/>
              </w:rPr>
              <w:t xml:space="preserve">in vitro </w:t>
            </w:r>
            <w:r w:rsidRPr="00AE37CA">
              <w:rPr>
                <w:rFonts w:cs="Times New Roman"/>
                <w:sz w:val="20"/>
                <w:szCs w:val="20"/>
                <w:lang w:val="en-US" w:eastAsia="it-IT"/>
              </w:rPr>
              <w:t>mutagenicity (Ames test) alerts by ISS</w:t>
            </w:r>
          </w:p>
        </w:tc>
        <w:tc>
          <w:tcPr>
            <w:tcW w:w="6378" w:type="dxa"/>
            <w:tcBorders>
              <w:top w:val="nil"/>
              <w:bottom w:val="nil"/>
            </w:tcBorders>
          </w:tcPr>
          <w:p w14:paraId="15AE3FF8" w14:textId="1B0B5BBF"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US" w:eastAsia="it-IT"/>
              </w:rPr>
              <w:t>I</w:t>
            </w:r>
            <w:r w:rsidRPr="00AE37CA">
              <w:rPr>
                <w:rFonts w:cs="Times New Roman"/>
                <w:sz w:val="20"/>
                <w:szCs w:val="20"/>
                <w:lang w:val="en-GB" w:eastAsia="it-IT"/>
              </w:rPr>
              <w:t xml:space="preserve">t is based on the Mutagenicity/Carcinogenicity module of the software Toxtree. It works as a decision tree for estimating in vitro (Ames test) mutagenicity, based on a list of 30 structural alerts (SAs). The SAs for mutagenicity are molecular functional groups or substructures known to be linked to the mutagenic activity of chemicals. As one or more SAs embedded in a molecular structure are recognised, the system flags the potential mutagenicity of the chemical. The present list of SAs is a subset of </w:t>
            </w:r>
            <w:r w:rsidRPr="00AE37CA">
              <w:rPr>
                <w:rFonts w:cs="Times New Roman"/>
                <w:sz w:val="20"/>
                <w:szCs w:val="20"/>
                <w:lang w:val="en-GB" w:eastAsia="it-IT"/>
              </w:rPr>
              <w:lastRenderedPageBreak/>
              <w:t>the original Toxtree list, obtained by eliminating the SAs for nongenotoxic carcinogenicity.</w:t>
            </w:r>
          </w:p>
        </w:tc>
        <w:tc>
          <w:tcPr>
            <w:tcW w:w="1732" w:type="dxa"/>
            <w:tcBorders>
              <w:top w:val="nil"/>
              <w:bottom w:val="nil"/>
            </w:tcBorders>
          </w:tcPr>
          <w:p w14:paraId="58D8D34D" w14:textId="6723960A"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GB" w:eastAsia="it-IT"/>
              </w:rPr>
              <w:lastRenderedPageBreak/>
              <w:t>Structural alert</w:t>
            </w:r>
          </w:p>
        </w:tc>
      </w:tr>
      <w:tr w:rsidR="001B0804" w:rsidRPr="00AE37CA" w14:paraId="1C545993" w14:textId="77777777" w:rsidTr="006E3B7C">
        <w:trPr>
          <w:trHeight w:val="369"/>
        </w:trPr>
        <w:tc>
          <w:tcPr>
            <w:cnfStyle w:val="001000000000" w:firstRow="0" w:lastRow="0" w:firstColumn="1" w:lastColumn="0" w:oddVBand="0" w:evenVBand="0" w:oddHBand="0" w:evenHBand="0" w:firstRowFirstColumn="0" w:firstRowLastColumn="0" w:lastRowFirstColumn="0" w:lastRowLastColumn="0"/>
            <w:tcW w:w="1668" w:type="dxa"/>
            <w:tcBorders>
              <w:top w:val="nil"/>
              <w:bottom w:val="single" w:sz="4" w:space="0" w:color="auto"/>
            </w:tcBorders>
          </w:tcPr>
          <w:p w14:paraId="748ACAC7" w14:textId="77254119" w:rsidR="001B0804" w:rsidRPr="00AE37CA" w:rsidRDefault="006E3B7C" w:rsidP="007A0382">
            <w:pPr>
              <w:spacing w:after="120"/>
              <w:rPr>
                <w:rFonts w:cs="Times New Roman"/>
                <w:sz w:val="20"/>
                <w:szCs w:val="20"/>
                <w:lang w:val="en-US" w:eastAsia="it-IT"/>
              </w:rPr>
            </w:pPr>
            <w:r w:rsidRPr="00AE37CA">
              <w:rPr>
                <w:rFonts w:cs="Times New Roman"/>
                <w:i/>
                <w:iCs/>
                <w:sz w:val="20"/>
                <w:szCs w:val="20"/>
                <w:lang w:val="en-US" w:eastAsia="it-IT"/>
              </w:rPr>
              <w:t xml:space="preserve">in vivo </w:t>
            </w:r>
            <w:r w:rsidRPr="00AE37CA">
              <w:rPr>
                <w:rFonts w:cs="Times New Roman"/>
                <w:sz w:val="20"/>
                <w:szCs w:val="20"/>
                <w:lang w:val="en-US" w:eastAsia="it-IT"/>
              </w:rPr>
              <w:t xml:space="preserve">mutagenicity (Micronucleus) alerts by ISS </w:t>
            </w:r>
          </w:p>
        </w:tc>
        <w:tc>
          <w:tcPr>
            <w:tcW w:w="6378" w:type="dxa"/>
            <w:tcBorders>
              <w:top w:val="nil"/>
              <w:bottom w:val="single" w:sz="4" w:space="0" w:color="auto"/>
            </w:tcBorders>
          </w:tcPr>
          <w:p w14:paraId="0B921D1F" w14:textId="0B62617C"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US" w:eastAsia="it-IT"/>
              </w:rPr>
              <w:t>I</w:t>
            </w:r>
            <w:r w:rsidRPr="00AE37CA">
              <w:rPr>
                <w:rFonts w:cs="Times New Roman"/>
                <w:sz w:val="20"/>
                <w:szCs w:val="20"/>
                <w:lang w:val="en-GB" w:eastAsia="it-IT"/>
              </w:rPr>
              <w:t>t is based on the ToxMic rulebase of the software Toxtree. This rulebase provides a list of 35 structural alerts (SAs) for a preliminary screening of potentially in vivo mutagens. These SAs are molecular functional groups or substructures that are known to be linked to the induction of effects in the in vivo micronucleus assay. The compilation of SAs for the in vivo micronucleus assay in rodents is based on both the existing knowledge on the mechanisms of toxic action and on a structural analysis of the chemicals tested in the assay.</w:t>
            </w:r>
          </w:p>
        </w:tc>
        <w:tc>
          <w:tcPr>
            <w:tcW w:w="1732" w:type="dxa"/>
            <w:tcBorders>
              <w:top w:val="nil"/>
              <w:bottom w:val="single" w:sz="4" w:space="0" w:color="auto"/>
            </w:tcBorders>
          </w:tcPr>
          <w:p w14:paraId="7F73E63B" w14:textId="71BD8571" w:rsidR="001B0804" w:rsidRPr="00AE37CA" w:rsidRDefault="006E3B7C" w:rsidP="007A0382">
            <w:pPr>
              <w:spacing w:after="120"/>
              <w:cnfStyle w:val="000000000000" w:firstRow="0" w:lastRow="0" w:firstColumn="0" w:lastColumn="0" w:oddVBand="0" w:evenVBand="0" w:oddHBand="0" w:evenHBand="0" w:firstRowFirstColumn="0" w:firstRowLastColumn="0" w:lastRowFirstColumn="0" w:lastRowLastColumn="0"/>
              <w:rPr>
                <w:rFonts w:cs="Times New Roman"/>
                <w:b/>
                <w:sz w:val="20"/>
                <w:szCs w:val="20"/>
                <w:lang w:val="en-GB" w:eastAsia="it-IT"/>
              </w:rPr>
            </w:pPr>
            <w:r w:rsidRPr="00AE37CA">
              <w:rPr>
                <w:rFonts w:cs="Times New Roman"/>
                <w:sz w:val="20"/>
                <w:szCs w:val="20"/>
                <w:lang w:val="en-GB" w:eastAsia="it-IT"/>
              </w:rPr>
              <w:t>Structural alert</w:t>
            </w:r>
          </w:p>
        </w:tc>
      </w:tr>
    </w:tbl>
    <w:p w14:paraId="720012AD" w14:textId="77777777" w:rsidR="00570E14" w:rsidRDefault="00570E14" w:rsidP="00296CCD">
      <w:pPr>
        <w:pStyle w:val="Nessunaspaziatura"/>
        <w:rPr>
          <w:rStyle w:val="Titolo2Carattere"/>
          <w:rFonts w:ascii="Times New Roman" w:hAnsi="Times New Roman" w:cs="Times New Roman"/>
          <w:b w:val="0"/>
          <w:color w:val="auto"/>
          <w:sz w:val="22"/>
          <w:szCs w:val="22"/>
          <w:lang w:val="en-US"/>
        </w:rPr>
      </w:pPr>
    </w:p>
    <w:p w14:paraId="61DFE6D1" w14:textId="7C869274" w:rsidR="006C5CA1" w:rsidRDefault="006C5CA1" w:rsidP="001C4C44">
      <w:pPr>
        <w:rPr>
          <w:rStyle w:val="Titolo2Carattere"/>
          <w:rFonts w:asciiTheme="minorHAnsi" w:hAnsiTheme="minorHAnsi" w:cs="Times New Roman"/>
          <w:b w:val="0"/>
          <w:color w:val="auto"/>
          <w:sz w:val="22"/>
          <w:szCs w:val="22"/>
          <w:lang w:val="en-US"/>
        </w:rPr>
      </w:pPr>
    </w:p>
    <w:p w14:paraId="51AD64ED" w14:textId="77777777" w:rsidR="006C5CA1" w:rsidRDefault="006C5CA1" w:rsidP="006C5CA1">
      <w:pPr>
        <w:rPr>
          <w:lang w:val="en-US"/>
        </w:rPr>
      </w:pPr>
    </w:p>
    <w:p w14:paraId="0405AA73" w14:textId="77777777" w:rsidR="006C5CA1" w:rsidRPr="006C5CA1" w:rsidRDefault="006C5CA1" w:rsidP="006C5CA1">
      <w:pPr>
        <w:rPr>
          <w:lang w:val="en-US"/>
        </w:rPr>
      </w:pPr>
    </w:p>
    <w:p w14:paraId="605BB57C" w14:textId="29093917" w:rsidR="00F007BC" w:rsidRPr="00AE37CA" w:rsidRDefault="00B65920" w:rsidP="00CE6927">
      <w:pPr>
        <w:pStyle w:val="Titolo2"/>
        <w:rPr>
          <w:rFonts w:asciiTheme="minorHAnsi" w:hAnsiTheme="minorHAnsi" w:cs="Times New Roman"/>
          <w:b w:val="0"/>
          <w:color w:val="auto"/>
          <w:sz w:val="22"/>
          <w:szCs w:val="22"/>
          <w:lang w:val="en-US"/>
        </w:rPr>
      </w:pPr>
      <w:r w:rsidRPr="00AE37CA">
        <w:rPr>
          <w:rStyle w:val="Titolo2Carattere"/>
          <w:rFonts w:asciiTheme="minorHAnsi" w:hAnsiTheme="minorHAnsi" w:cs="Times New Roman"/>
          <w:b/>
          <w:color w:val="auto"/>
          <w:sz w:val="22"/>
          <w:szCs w:val="22"/>
          <w:lang w:val="en-US"/>
        </w:rPr>
        <w:t>Table S</w:t>
      </w:r>
      <w:r w:rsidR="00570E14" w:rsidRPr="00AE37CA">
        <w:rPr>
          <w:rStyle w:val="Titolo2Carattere"/>
          <w:rFonts w:asciiTheme="minorHAnsi" w:hAnsiTheme="minorHAnsi" w:cs="Times New Roman"/>
          <w:b/>
          <w:color w:val="auto"/>
          <w:sz w:val="22"/>
          <w:szCs w:val="22"/>
          <w:lang w:val="en-US"/>
        </w:rPr>
        <w:t>3</w:t>
      </w:r>
      <w:r w:rsidR="00CF30EF" w:rsidRPr="00AE37CA">
        <w:rPr>
          <w:rStyle w:val="Titolo2Carattere"/>
          <w:rFonts w:asciiTheme="minorHAnsi" w:hAnsiTheme="minorHAnsi" w:cs="Times New Roman"/>
          <w:b/>
          <w:color w:val="auto"/>
          <w:sz w:val="22"/>
          <w:szCs w:val="22"/>
          <w:lang w:val="en-US"/>
        </w:rPr>
        <w:t>.</w:t>
      </w:r>
      <w:r w:rsidR="00CF30EF" w:rsidRPr="00AE37CA">
        <w:rPr>
          <w:rFonts w:asciiTheme="minorHAnsi" w:hAnsiTheme="minorHAnsi" w:cs="Times New Roman"/>
          <w:b w:val="0"/>
          <w:color w:val="auto"/>
          <w:sz w:val="22"/>
          <w:szCs w:val="22"/>
          <w:lang w:val="en-US"/>
        </w:rPr>
        <w:t xml:space="preserve"> Public databases for genotoxicity and carcinogenicity.</w:t>
      </w:r>
    </w:p>
    <w:tbl>
      <w:tblPr>
        <w:tblStyle w:val="Sfondochiaro"/>
        <w:tblW w:w="0" w:type="auto"/>
        <w:tblLook w:val="06A0" w:firstRow="1" w:lastRow="0" w:firstColumn="1" w:lastColumn="0" w:noHBand="1" w:noVBand="1"/>
      </w:tblPr>
      <w:tblGrid>
        <w:gridCol w:w="1951"/>
        <w:gridCol w:w="7827"/>
      </w:tblGrid>
      <w:tr w:rsidR="008668AF" w:rsidRPr="00AE37CA" w14:paraId="7173D44D" w14:textId="77777777" w:rsidTr="00CE692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51" w:type="dxa"/>
            <w:shd w:val="clear" w:color="auto" w:fill="BFBFBF" w:themeFill="background1" w:themeFillShade="BF"/>
          </w:tcPr>
          <w:p w14:paraId="394E465D" w14:textId="77777777" w:rsidR="008668AF" w:rsidRPr="00AE37CA" w:rsidRDefault="008668AF" w:rsidP="008668AF">
            <w:pPr>
              <w:spacing w:after="120"/>
              <w:rPr>
                <w:rFonts w:cs="Times New Roman"/>
                <w:sz w:val="20"/>
                <w:szCs w:val="20"/>
                <w:lang w:val="en-US"/>
              </w:rPr>
            </w:pPr>
            <w:r w:rsidRPr="00AE37CA">
              <w:rPr>
                <w:rFonts w:cs="Times New Roman"/>
                <w:bCs w:val="0"/>
                <w:sz w:val="20"/>
                <w:szCs w:val="20"/>
                <w:lang w:val="en-US"/>
              </w:rPr>
              <w:t>Database</w:t>
            </w:r>
          </w:p>
        </w:tc>
        <w:tc>
          <w:tcPr>
            <w:tcW w:w="7827" w:type="dxa"/>
            <w:shd w:val="clear" w:color="auto" w:fill="BFBFBF" w:themeFill="background1" w:themeFillShade="BF"/>
          </w:tcPr>
          <w:p w14:paraId="0AEE4258" w14:textId="77777777" w:rsidR="008668AF" w:rsidRPr="00AE37CA" w:rsidRDefault="008668AF" w:rsidP="008668AF">
            <w:pPr>
              <w:spacing w:after="120"/>
              <w:cnfStyle w:val="100000000000" w:firstRow="1" w:lastRow="0" w:firstColumn="0" w:lastColumn="0" w:oddVBand="0" w:evenVBand="0" w:oddHBand="0" w:evenHBand="0" w:firstRowFirstColumn="0" w:firstRowLastColumn="0" w:lastRowFirstColumn="0" w:lastRowLastColumn="0"/>
              <w:rPr>
                <w:rFonts w:cs="Times New Roman"/>
                <w:sz w:val="20"/>
                <w:szCs w:val="20"/>
                <w:lang w:val="en-US"/>
              </w:rPr>
            </w:pPr>
            <w:r w:rsidRPr="00AE37CA">
              <w:rPr>
                <w:rFonts w:cs="Times New Roman"/>
                <w:bCs w:val="0"/>
                <w:sz w:val="20"/>
                <w:szCs w:val="20"/>
                <w:lang w:val="en-US"/>
              </w:rPr>
              <w:t>Information</w:t>
            </w:r>
          </w:p>
        </w:tc>
      </w:tr>
      <w:tr w:rsidR="008668AF" w:rsidRPr="007C7619" w14:paraId="5D096616"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03A47FDE" w14:textId="77777777" w:rsidR="008668AF" w:rsidRPr="00AE37CA" w:rsidRDefault="008668AF" w:rsidP="008668AF">
            <w:pPr>
              <w:spacing w:after="120"/>
              <w:rPr>
                <w:rFonts w:cs="Times New Roman"/>
                <w:sz w:val="20"/>
                <w:szCs w:val="20"/>
                <w:lang w:val="en-US"/>
              </w:rPr>
            </w:pPr>
            <w:r w:rsidRPr="00AE37CA">
              <w:rPr>
                <w:rFonts w:cs="Times New Roman"/>
                <w:bCs w:val="0"/>
                <w:sz w:val="20"/>
                <w:szCs w:val="20"/>
                <w:lang w:val="en-GB" w:eastAsia="it-IT"/>
              </w:rPr>
              <w:t>Bacterial mutagenicity ISSSTY</w:t>
            </w:r>
          </w:p>
        </w:tc>
        <w:tc>
          <w:tcPr>
            <w:tcW w:w="7827" w:type="dxa"/>
          </w:tcPr>
          <w:p w14:paraId="58CA1EB8" w14:textId="51C72341" w:rsidR="008668AF" w:rsidRPr="00AE37CA" w:rsidRDefault="007433F2" w:rsidP="008668AF">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AE37CA">
              <w:rPr>
                <w:rFonts w:cs="Times New Roman"/>
                <w:sz w:val="20"/>
                <w:szCs w:val="20"/>
                <w:lang w:val="en-GB" w:eastAsia="it-IT"/>
              </w:rPr>
              <w:t xml:space="preserve">Istituto Superiore di Sanità (ISS) </w:t>
            </w:r>
            <w:r w:rsidR="008668AF" w:rsidRPr="00AE37CA">
              <w:rPr>
                <w:rFonts w:cs="Times New Roman"/>
                <w:sz w:val="20"/>
                <w:szCs w:val="20"/>
                <w:lang w:val="en-GB" w:eastAsia="it-IT"/>
              </w:rPr>
              <w:t xml:space="preserve">ISSSTY database on </w:t>
            </w:r>
            <w:r w:rsidR="008668AF" w:rsidRPr="00AE37CA">
              <w:rPr>
                <w:rFonts w:cs="Times New Roman"/>
                <w:i/>
                <w:iCs/>
                <w:sz w:val="20"/>
                <w:szCs w:val="20"/>
                <w:lang w:val="en-GB" w:eastAsia="it-IT"/>
              </w:rPr>
              <w:t>Salmonella typhimurium</w:t>
            </w:r>
            <w:r w:rsidR="008668AF" w:rsidRPr="00AE37CA">
              <w:rPr>
                <w:rFonts w:cs="Times New Roman"/>
                <w:sz w:val="20"/>
                <w:szCs w:val="20"/>
                <w:lang w:val="en-GB" w:eastAsia="it-IT"/>
              </w:rPr>
              <w:t xml:space="preserve"> (Ames test) bacterial mutagenicity. The experimental results were retrieved from the Chemical Carcinogenesis Research Information System (CCRIS) database, in the Toxnet databases cluster (http://toxnet.nlm.nih.gov/cgi-bin/sis/htmlgen?CCRIS).</w:t>
            </w:r>
          </w:p>
        </w:tc>
      </w:tr>
      <w:tr w:rsidR="0005127A" w:rsidRPr="007C7619" w14:paraId="681AC6CB"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480F3BD2" w14:textId="7B8C361D" w:rsidR="0005127A" w:rsidRPr="00AE37CA" w:rsidRDefault="0005127A" w:rsidP="008668AF">
            <w:pPr>
              <w:spacing w:after="120"/>
              <w:rPr>
                <w:rFonts w:cs="Times New Roman"/>
                <w:bCs w:val="0"/>
                <w:sz w:val="20"/>
                <w:szCs w:val="20"/>
                <w:lang w:val="en-GB" w:eastAsia="it-IT"/>
              </w:rPr>
            </w:pPr>
            <w:r w:rsidRPr="00AE37CA">
              <w:rPr>
                <w:rFonts w:cs="Times New Roman"/>
                <w:sz w:val="20"/>
                <w:szCs w:val="20"/>
                <w:lang w:val="en-GB" w:eastAsia="it-IT"/>
              </w:rPr>
              <w:t>Carcinogenic potency database (CPDB)</w:t>
            </w:r>
          </w:p>
        </w:tc>
        <w:tc>
          <w:tcPr>
            <w:tcW w:w="7827" w:type="dxa"/>
          </w:tcPr>
          <w:p w14:paraId="0B76D01E" w14:textId="4D04FBD5" w:rsidR="0005127A" w:rsidRPr="00AE37CA" w:rsidRDefault="0005127A" w:rsidP="008668AF">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GB" w:eastAsia="it-IT"/>
              </w:rPr>
              <w:t>The Carcinogenic Potency Database (CPDB) (http://potency.berkeley.edu/cpdb.html) provides a unique resource of the results of 6540 chronic, long-term animal cancer tests on 1547 chemicals. The CPDB provides easy access to the bioassay literature, with qualitative and quantitative analyses of both positive and negative experiments that have been published over the past 50 years in the general literature through 2001 and by the National Cancer Institute/National Toxicology Program through 2004.</w:t>
            </w:r>
          </w:p>
        </w:tc>
      </w:tr>
      <w:tr w:rsidR="0005127A" w:rsidRPr="007C7619" w14:paraId="4367CAFC"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405C6CF8" w14:textId="16893A43" w:rsidR="0005127A" w:rsidRPr="00AE37CA" w:rsidRDefault="0005127A" w:rsidP="008668AF">
            <w:pPr>
              <w:spacing w:after="120"/>
              <w:rPr>
                <w:rFonts w:cs="Times New Roman"/>
                <w:sz w:val="20"/>
                <w:szCs w:val="20"/>
                <w:lang w:val="en-GB" w:eastAsia="it-IT"/>
              </w:rPr>
            </w:pPr>
            <w:r w:rsidRPr="00AE37CA">
              <w:rPr>
                <w:rFonts w:cs="Times New Roman"/>
                <w:sz w:val="20"/>
                <w:szCs w:val="20"/>
                <w:lang w:val="en-GB" w:eastAsia="it-IT"/>
              </w:rPr>
              <w:t>Carcinogenicity &amp; Mutagenicity ISSCAN</w:t>
            </w:r>
          </w:p>
        </w:tc>
        <w:tc>
          <w:tcPr>
            <w:tcW w:w="7827" w:type="dxa"/>
          </w:tcPr>
          <w:p w14:paraId="34CD4F4B" w14:textId="298CC926" w:rsidR="0005127A" w:rsidRPr="00AE37CA" w:rsidRDefault="0005127A" w:rsidP="008668AF">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GB" w:eastAsia="it-IT"/>
              </w:rPr>
              <w:t>This database, developed by the Istituto Superiore di Sanità (ISS, Rome, Italy), contains information on more than 1150 chemical compounds tested with the long-term carcinogenicity bioassay on rodents (rat, mouse). Historically, this database was developed to support the development of (Q)SAR models for chemical carcinogenicity. ISSCAN is downloadable in pdf, xls and sdf formats, and is searchable by chemical name and CAS number.</w:t>
            </w:r>
          </w:p>
        </w:tc>
      </w:tr>
      <w:tr w:rsidR="0005127A" w:rsidRPr="007C7619" w14:paraId="62D692D1"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1803B0A4" w14:textId="6A793119" w:rsidR="0005127A" w:rsidRPr="00AE37CA" w:rsidRDefault="0005127A" w:rsidP="008668AF">
            <w:pPr>
              <w:spacing w:after="120"/>
              <w:rPr>
                <w:rFonts w:cs="Times New Roman"/>
                <w:sz w:val="20"/>
                <w:szCs w:val="20"/>
                <w:lang w:val="en-GB" w:eastAsia="it-IT"/>
              </w:rPr>
            </w:pPr>
            <w:r w:rsidRPr="00AE37CA">
              <w:rPr>
                <w:rFonts w:cs="Times New Roman"/>
                <w:bCs w:val="0"/>
                <w:sz w:val="20"/>
                <w:szCs w:val="20"/>
                <w:lang w:val="en-GB" w:eastAsia="it-IT"/>
              </w:rPr>
              <w:t>ECHA CHEM</w:t>
            </w:r>
          </w:p>
        </w:tc>
        <w:tc>
          <w:tcPr>
            <w:tcW w:w="7827" w:type="dxa"/>
          </w:tcPr>
          <w:p w14:paraId="609C2F7C" w14:textId="465D8730" w:rsidR="0005127A" w:rsidRPr="00AE37CA" w:rsidRDefault="0005127A" w:rsidP="008668AF">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US" w:eastAsia="it-IT"/>
              </w:rPr>
              <w:t xml:space="preserve">ECHA CHEM </w:t>
            </w:r>
            <w:r w:rsidRPr="00AE37CA">
              <w:rPr>
                <w:rFonts w:cs="Times New Roman"/>
                <w:sz w:val="20"/>
                <w:szCs w:val="20"/>
                <w:lang w:val="en-GB" w:eastAsia="it-IT"/>
              </w:rPr>
              <w:t xml:space="preserve">includes information on chemical substances manufactured or imported in Europe. The information originates from the registration dossiers, submitted by companies to the European Chemicals Agency (ECHA) in the framework of the REACH Regulation </w:t>
            </w:r>
            <w:r w:rsidRPr="00AE37CA">
              <w:rPr>
                <w:rFonts w:cs="Times New Roman"/>
                <w:sz w:val="20"/>
                <w:szCs w:val="20"/>
                <w:lang w:val="en-GB"/>
              </w:rPr>
              <w:t>(http://echa.europa.eu/chem_data_en.asp).</w:t>
            </w:r>
          </w:p>
        </w:tc>
      </w:tr>
      <w:tr w:rsidR="0005127A" w:rsidRPr="00AE37CA" w14:paraId="43FC0B5C"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5114EBF4" w14:textId="0E98844E" w:rsidR="0005127A" w:rsidRPr="00AE37CA" w:rsidRDefault="0005127A" w:rsidP="008668AF">
            <w:pPr>
              <w:spacing w:after="120"/>
              <w:rPr>
                <w:rFonts w:cs="Times New Roman"/>
                <w:bCs w:val="0"/>
                <w:sz w:val="20"/>
                <w:szCs w:val="20"/>
                <w:lang w:val="en-GB" w:eastAsia="it-IT"/>
              </w:rPr>
            </w:pPr>
            <w:r w:rsidRPr="00AE37CA">
              <w:rPr>
                <w:rFonts w:cs="Times New Roman"/>
                <w:bCs w:val="0"/>
                <w:sz w:val="20"/>
                <w:szCs w:val="20"/>
                <w:lang w:val="en-GB" w:eastAsia="it-IT"/>
              </w:rPr>
              <w:t>Genotoxicity OASIS</w:t>
            </w:r>
          </w:p>
        </w:tc>
        <w:tc>
          <w:tcPr>
            <w:tcW w:w="7827" w:type="dxa"/>
          </w:tcPr>
          <w:p w14:paraId="2AACD88B" w14:textId="1D0CDA1F" w:rsidR="0005127A" w:rsidRPr="00AE37CA" w:rsidRDefault="0005127A" w:rsidP="008668AF">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US" w:eastAsia="it-IT"/>
              </w:rPr>
            </w:pPr>
            <w:r w:rsidRPr="00AE37CA">
              <w:rPr>
                <w:rFonts w:cs="Times New Roman"/>
                <w:sz w:val="20"/>
                <w:szCs w:val="20"/>
                <w:lang w:val="en-US" w:eastAsia="it-IT"/>
              </w:rPr>
              <w:t>Genotoxicity OASIS</w:t>
            </w:r>
            <w:r w:rsidRPr="00AE37CA">
              <w:rPr>
                <w:rFonts w:cs="Times New Roman"/>
                <w:sz w:val="20"/>
                <w:szCs w:val="20"/>
                <w:lang w:val="en-GB" w:eastAsia="it-IT"/>
              </w:rPr>
              <w:t xml:space="preserve"> includes experimental results for genotoxicity for 7500 compounds collected from several sources, e.g. Hansen et al (2009)</w:t>
            </w:r>
            <w:r w:rsidRPr="00AE37CA">
              <w:rPr>
                <w:rStyle w:val="Rimandonotaapidipagina"/>
                <w:rFonts w:cs="Times New Roman"/>
                <w:sz w:val="20"/>
                <w:szCs w:val="20"/>
                <w:lang w:val="en-GB" w:eastAsia="it-IT"/>
              </w:rPr>
              <w:footnoteReference w:id="1"/>
            </w:r>
            <w:r w:rsidRPr="00AE37CA">
              <w:rPr>
                <w:rFonts w:cs="Times New Roman"/>
                <w:sz w:val="20"/>
                <w:szCs w:val="20"/>
                <w:lang w:val="en-GB" w:eastAsia="it-IT"/>
              </w:rPr>
              <w:t>, CPDB + NTP + IARC (</w:t>
            </w:r>
            <w:r w:rsidRPr="00AE37CA">
              <w:rPr>
                <w:rFonts w:cs="Times New Roman"/>
                <w:sz w:val="20"/>
                <w:szCs w:val="20"/>
                <w:lang w:val="en-GB"/>
              </w:rPr>
              <w:t>International Agency for Research on Cancer - Monographs on the evaluation of carcinogenic risks to humans)</w:t>
            </w:r>
            <w:r w:rsidRPr="00AE37CA">
              <w:rPr>
                <w:rStyle w:val="Rimandonotaapidipagina"/>
                <w:rFonts w:cs="Times New Roman"/>
                <w:sz w:val="20"/>
                <w:szCs w:val="20"/>
                <w:lang w:val="en-GB" w:eastAsia="it-IT"/>
              </w:rPr>
              <w:footnoteReference w:id="2"/>
            </w:r>
            <w:r w:rsidRPr="00AE37CA">
              <w:rPr>
                <w:rFonts w:cs="Times New Roman"/>
                <w:sz w:val="20"/>
                <w:szCs w:val="20"/>
                <w:vertAlign w:val="superscript"/>
                <w:lang w:val="en-GB" w:eastAsia="it-IT"/>
              </w:rPr>
              <w:t>,</w:t>
            </w:r>
            <w:r w:rsidRPr="00AE37CA">
              <w:rPr>
                <w:rStyle w:val="Rimandonotaapidipagina"/>
                <w:rFonts w:cs="Times New Roman"/>
                <w:sz w:val="20"/>
                <w:szCs w:val="20"/>
                <w:lang w:val="en-GB" w:eastAsia="it-IT"/>
              </w:rPr>
              <w:footnoteReference w:id="3"/>
            </w:r>
            <w:r w:rsidRPr="00AE37CA">
              <w:rPr>
                <w:rFonts w:cs="Times New Roman"/>
                <w:sz w:val="20"/>
                <w:szCs w:val="20"/>
                <w:lang w:val="en-GB" w:eastAsia="it-IT"/>
              </w:rPr>
              <w:t>, LSIC Japan-Danish EPA Inventory, NCI-STTP (Short-Term Testing Program in the National Cancer Institute (NCI), National Institutes of Health, US Department of Health and Human Services), NTP Program - P&amp;G Inventory and US GeneTox. It contains data for mutagenic valuation by Ames test (</w:t>
            </w:r>
            <w:r w:rsidRPr="00AE37CA">
              <w:rPr>
                <w:rFonts w:cs="Times New Roman"/>
                <w:i/>
                <w:iCs/>
                <w:sz w:val="20"/>
                <w:szCs w:val="20"/>
                <w:lang w:val="en-GB" w:eastAsia="it-IT"/>
              </w:rPr>
              <w:t>Salmonella Typhimurium</w:t>
            </w:r>
            <w:r w:rsidRPr="00AE37CA">
              <w:rPr>
                <w:rFonts w:cs="Times New Roman"/>
                <w:sz w:val="20"/>
                <w:szCs w:val="20"/>
                <w:lang w:val="en-GB" w:eastAsia="it-IT"/>
              </w:rPr>
              <w:t xml:space="preserve">, strains TA 97, TA 98, TA 100, TA 1535, TA 1537, TA 1538) with and without metabolic activation (liver S9 enzyme fraction). It also includes data for chromosomal aberrations determined by </w:t>
            </w:r>
            <w:r w:rsidRPr="00AE37CA">
              <w:rPr>
                <w:rFonts w:cs="Times New Roman"/>
                <w:i/>
                <w:iCs/>
                <w:sz w:val="20"/>
                <w:szCs w:val="20"/>
                <w:lang w:val="en-GB" w:eastAsia="it-IT"/>
              </w:rPr>
              <w:t>in vitro</w:t>
            </w:r>
            <w:r w:rsidRPr="00AE37CA">
              <w:rPr>
                <w:rFonts w:cs="Times New Roman"/>
                <w:sz w:val="20"/>
                <w:szCs w:val="20"/>
                <w:lang w:val="en-GB" w:eastAsia="it-IT"/>
              </w:rPr>
              <w:t xml:space="preserve"> test using Chinese </w:t>
            </w:r>
            <w:r w:rsidRPr="00AE37CA">
              <w:rPr>
                <w:rFonts w:cs="Times New Roman"/>
                <w:sz w:val="20"/>
                <w:szCs w:val="20"/>
                <w:lang w:val="en-GB" w:eastAsia="it-IT"/>
              </w:rPr>
              <w:lastRenderedPageBreak/>
              <w:t>hamster lung cells (CHL, with and without S9). Micronucleus (MN) and mouse lymphoma gene mutation assay (MLA) are evaluated by Chinese hamster lung cells (CHL/IU) and by in vitro T-lymphoma cell lines, respectively. All endpoints are evaluated in dichotomic scale (YES/NO).</w:t>
            </w:r>
          </w:p>
        </w:tc>
      </w:tr>
      <w:tr w:rsidR="0005127A" w:rsidRPr="007C7619" w14:paraId="2066B589"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4C9E53C0" w14:textId="77777777" w:rsidR="0005127A" w:rsidRPr="00AE37CA" w:rsidRDefault="0005127A" w:rsidP="008668AF">
            <w:pPr>
              <w:spacing w:after="120"/>
              <w:rPr>
                <w:rFonts w:cs="Times New Roman"/>
                <w:sz w:val="20"/>
                <w:szCs w:val="20"/>
                <w:lang w:val="en-US"/>
              </w:rPr>
            </w:pPr>
            <w:r w:rsidRPr="00AE37CA">
              <w:rPr>
                <w:rFonts w:cs="Times New Roman"/>
                <w:sz w:val="20"/>
                <w:szCs w:val="20"/>
                <w:lang w:val="en-GB" w:eastAsia="it-IT"/>
              </w:rPr>
              <w:lastRenderedPageBreak/>
              <w:t>Toxicology Data Network Database (TOXNET)</w:t>
            </w:r>
          </w:p>
        </w:tc>
        <w:tc>
          <w:tcPr>
            <w:tcW w:w="7827" w:type="dxa"/>
          </w:tcPr>
          <w:p w14:paraId="70FFCCF5" w14:textId="36C77CCD" w:rsidR="0005127A" w:rsidRPr="00AE37CA" w:rsidRDefault="0005127A" w:rsidP="00DB671E">
            <w:pPr>
              <w:spacing w:after="120"/>
              <w:cnfStyle w:val="000000000000" w:firstRow="0" w:lastRow="0" w:firstColumn="0" w:lastColumn="0" w:oddVBand="0" w:evenVBand="0" w:oddHBand="0" w:evenHBand="0" w:firstRowFirstColumn="0" w:firstRowLastColumn="0" w:lastRowFirstColumn="0" w:lastRowLastColumn="0"/>
              <w:rPr>
                <w:rFonts w:cs="Times New Roman"/>
                <w:sz w:val="20"/>
                <w:szCs w:val="20"/>
                <w:lang w:val="en-US"/>
              </w:rPr>
            </w:pPr>
            <w:r w:rsidRPr="00AE37CA">
              <w:rPr>
                <w:rFonts w:cs="Times New Roman"/>
                <w:sz w:val="20"/>
                <w:szCs w:val="20"/>
                <w:lang w:val="en-GB" w:eastAsia="it-IT"/>
              </w:rPr>
              <w:t xml:space="preserve">The TOXNET database of the US National Library of Medicine (NLM) is a cluster of different databases, collecting information on toxicology, hazardous chemicals, environmental health, and toxic releases. Among the TOXNET databases, the </w:t>
            </w:r>
            <w:r w:rsidRPr="00AE37CA">
              <w:rPr>
                <w:rFonts w:cs="Times New Roman"/>
                <w:b/>
                <w:sz w:val="20"/>
                <w:szCs w:val="20"/>
                <w:lang w:val="en-GB" w:eastAsia="it-IT"/>
              </w:rPr>
              <w:t>Chemical Carcinogenesis Research Information System (CCRIS)</w:t>
            </w:r>
            <w:r w:rsidRPr="00AE37CA">
              <w:rPr>
                <w:rFonts w:cs="Times New Roman"/>
                <w:sz w:val="20"/>
                <w:szCs w:val="20"/>
                <w:lang w:val="en-GB" w:eastAsia="it-IT"/>
              </w:rPr>
              <w:t xml:space="preserve"> and the </w:t>
            </w:r>
            <w:r w:rsidRPr="00AE37CA">
              <w:rPr>
                <w:rFonts w:cs="Times New Roman"/>
                <w:b/>
                <w:sz w:val="20"/>
                <w:szCs w:val="20"/>
                <w:lang w:val="en-GB" w:eastAsia="it-IT"/>
              </w:rPr>
              <w:t>GENE-TOX</w:t>
            </w:r>
            <w:r w:rsidRPr="00AE37CA">
              <w:rPr>
                <w:rFonts w:cs="Times New Roman"/>
                <w:sz w:val="20"/>
                <w:szCs w:val="20"/>
                <w:lang w:val="en-GB" w:eastAsia="it-IT"/>
              </w:rPr>
              <w:t xml:space="preserve"> databases deal specifically with mutagenicity and carcinogenicity data. CCRIS contains over 9000 chemical records with animal carcinogenicity, mutagenicity, tumour promotion, and tumor inhibition test results provided by the National Cancer Institute (NCI). Test results have been reviewed by experts in carcinogenesis and mutagenesis. GENE-TOX was developed by the US EPA and contains genetic toxicology (mutagenicity) test data, resulting from expert peer review of the open scientific literature, on over 3000 chemicals.</w:t>
            </w:r>
          </w:p>
        </w:tc>
      </w:tr>
      <w:tr w:rsidR="0005127A" w:rsidRPr="00AE37CA" w14:paraId="0A4C73BE" w14:textId="77777777" w:rsidTr="008668AF">
        <w:tc>
          <w:tcPr>
            <w:cnfStyle w:val="001000000000" w:firstRow="0" w:lastRow="0" w:firstColumn="1" w:lastColumn="0" w:oddVBand="0" w:evenVBand="0" w:oddHBand="0" w:evenHBand="0" w:firstRowFirstColumn="0" w:firstRowLastColumn="0" w:lastRowFirstColumn="0" w:lastRowLastColumn="0"/>
            <w:tcW w:w="1951" w:type="dxa"/>
          </w:tcPr>
          <w:p w14:paraId="12C9F907" w14:textId="55ECAF02" w:rsidR="0005127A" w:rsidRPr="00AE37CA" w:rsidRDefault="0005127A" w:rsidP="008668AF">
            <w:pPr>
              <w:spacing w:after="120"/>
              <w:rPr>
                <w:rFonts w:cs="Times New Roman"/>
                <w:sz w:val="20"/>
                <w:szCs w:val="20"/>
                <w:lang w:val="en-US"/>
              </w:rPr>
            </w:pPr>
            <w:r w:rsidRPr="00AE37CA">
              <w:rPr>
                <w:rFonts w:cs="Times New Roman"/>
                <w:sz w:val="20"/>
                <w:szCs w:val="20"/>
                <w:lang w:val="en-GB" w:eastAsia="it-IT"/>
              </w:rPr>
              <w:t>Toxicity Japan MHLW (EXCHEM)</w:t>
            </w:r>
          </w:p>
        </w:tc>
        <w:tc>
          <w:tcPr>
            <w:tcW w:w="7827" w:type="dxa"/>
          </w:tcPr>
          <w:p w14:paraId="1E464EDF" w14:textId="0B5DE1C2" w:rsidR="0005127A" w:rsidRPr="00AE37CA" w:rsidRDefault="0005127A" w:rsidP="002F6254">
            <w:pPr>
              <w:autoSpaceDE w:val="0"/>
              <w:autoSpaceDN w:val="0"/>
              <w:spacing w:after="120"/>
              <w:jc w:val="both"/>
              <w:cnfStyle w:val="000000000000" w:firstRow="0" w:lastRow="0" w:firstColumn="0" w:lastColumn="0" w:oddVBand="0" w:evenVBand="0" w:oddHBand="0" w:evenHBand="0" w:firstRowFirstColumn="0" w:firstRowLastColumn="0" w:lastRowFirstColumn="0" w:lastRowLastColumn="0"/>
              <w:rPr>
                <w:rFonts w:cs="Times New Roman"/>
                <w:sz w:val="20"/>
                <w:szCs w:val="20"/>
                <w:lang w:val="en-GB" w:eastAsia="it-IT"/>
              </w:rPr>
            </w:pPr>
            <w:r w:rsidRPr="00AE37CA">
              <w:rPr>
                <w:rFonts w:cs="Times New Roman"/>
                <w:sz w:val="20"/>
                <w:szCs w:val="20"/>
                <w:lang w:val="en-GB" w:eastAsia="it-IT"/>
              </w:rPr>
              <w:t>This database (http://dra4.nihs.go.jp/mhlw_data/jsp/SearchPageENG.jsp) was developed by the Chemicals Investigation Promoting Council, Japan and was supervised by Office of Chemicals Safety Evaluation and Licensing Bureau Pharmaceutical and Food Safety Bureau Ministry of Health, Labour and Welfare (MHLW), Japan. EXCHEM contains data for Ames mutagenicity, chromosomal aberrations and mouse micronucleus assays for more than 250 HPV chemicals. Most of the information is in Japanese but there is also information in English. The database is searchable by CAS number and name.</w:t>
            </w:r>
          </w:p>
        </w:tc>
      </w:tr>
    </w:tbl>
    <w:p w14:paraId="227E05BA" w14:textId="77777777" w:rsidR="00CF30EF" w:rsidRDefault="00CF30EF" w:rsidP="00F007BC">
      <w:pPr>
        <w:rPr>
          <w:rFonts w:ascii="Times New Roman" w:hAnsi="Times New Roman" w:cs="Times New Roman"/>
          <w:lang w:val="en-GB"/>
        </w:rPr>
      </w:pPr>
    </w:p>
    <w:p w14:paraId="57AE817E" w14:textId="77777777" w:rsidR="00CA2F6F" w:rsidRDefault="00CA2F6F" w:rsidP="00F007BC">
      <w:pPr>
        <w:rPr>
          <w:rFonts w:ascii="Times New Roman" w:hAnsi="Times New Roman" w:cs="Times New Roman"/>
          <w:lang w:val="en-GB"/>
        </w:rPr>
      </w:pPr>
    </w:p>
    <w:p w14:paraId="7C4DE102" w14:textId="77777777" w:rsidR="006C5CA1" w:rsidRDefault="006C5CA1" w:rsidP="00F007BC">
      <w:pPr>
        <w:rPr>
          <w:rFonts w:ascii="Times New Roman" w:hAnsi="Times New Roman" w:cs="Times New Roman"/>
          <w:lang w:val="en-GB"/>
        </w:rPr>
      </w:pPr>
    </w:p>
    <w:p w14:paraId="5CAA9F34" w14:textId="4D13CD9E" w:rsidR="00CA2F6F" w:rsidRPr="00AE37CA" w:rsidRDefault="00CA2F6F" w:rsidP="007247D6">
      <w:pPr>
        <w:pStyle w:val="Titolo2"/>
        <w:rPr>
          <w:rFonts w:asciiTheme="minorHAnsi" w:hAnsiTheme="minorHAnsi" w:cs="Times New Roman"/>
          <w:b w:val="0"/>
          <w:color w:val="auto"/>
          <w:sz w:val="22"/>
          <w:szCs w:val="22"/>
          <w:lang w:val="en-US"/>
        </w:rPr>
      </w:pPr>
      <w:r w:rsidRPr="00AE37CA">
        <w:rPr>
          <w:rFonts w:asciiTheme="minorHAnsi" w:hAnsiTheme="minorHAnsi" w:cs="Times New Roman"/>
          <w:color w:val="auto"/>
          <w:sz w:val="22"/>
          <w:szCs w:val="22"/>
          <w:lang w:val="en-US"/>
        </w:rPr>
        <w:t xml:space="preserve">Table </w:t>
      </w:r>
      <w:r w:rsidR="00B65920" w:rsidRPr="00AE37CA">
        <w:rPr>
          <w:rFonts w:asciiTheme="minorHAnsi" w:hAnsiTheme="minorHAnsi" w:cs="Times New Roman"/>
          <w:color w:val="auto"/>
          <w:sz w:val="22"/>
          <w:szCs w:val="22"/>
          <w:lang w:val="en-US"/>
        </w:rPr>
        <w:t>S</w:t>
      </w:r>
      <w:r w:rsidR="00570E14" w:rsidRPr="00AE37CA">
        <w:rPr>
          <w:rFonts w:asciiTheme="minorHAnsi" w:hAnsiTheme="minorHAnsi" w:cs="Times New Roman"/>
          <w:color w:val="auto"/>
          <w:sz w:val="22"/>
          <w:szCs w:val="22"/>
          <w:lang w:val="en-US"/>
        </w:rPr>
        <w:t>4</w:t>
      </w:r>
      <w:r w:rsidRPr="00AE37CA">
        <w:rPr>
          <w:rFonts w:asciiTheme="minorHAnsi" w:hAnsiTheme="minorHAnsi" w:cs="Times New Roman"/>
          <w:color w:val="auto"/>
          <w:sz w:val="22"/>
          <w:szCs w:val="22"/>
          <w:lang w:val="en-US"/>
        </w:rPr>
        <w:t>.</w:t>
      </w:r>
      <w:r w:rsidRPr="00AE37CA">
        <w:rPr>
          <w:rFonts w:asciiTheme="minorHAnsi" w:hAnsiTheme="minorHAnsi" w:cs="Times New Roman"/>
          <w:b w:val="0"/>
          <w:color w:val="auto"/>
          <w:sz w:val="22"/>
          <w:szCs w:val="22"/>
          <w:lang w:val="en-US"/>
        </w:rPr>
        <w:t xml:space="preserve"> Employed </w:t>
      </w:r>
      <w:r w:rsidR="00C1424E" w:rsidRPr="00AE37CA">
        <w:rPr>
          <w:rFonts w:asciiTheme="minorHAnsi" w:hAnsiTheme="minorHAnsi" w:cs="Times New Roman"/>
          <w:b w:val="0"/>
          <w:color w:val="auto"/>
          <w:sz w:val="22"/>
          <w:szCs w:val="22"/>
          <w:lang w:val="en-US"/>
        </w:rPr>
        <w:t>tools</w:t>
      </w:r>
      <w:r w:rsidRPr="00AE37CA">
        <w:rPr>
          <w:rFonts w:asciiTheme="minorHAnsi" w:hAnsiTheme="minorHAnsi" w:cs="Times New Roman"/>
          <w:b w:val="0"/>
          <w:color w:val="auto"/>
          <w:sz w:val="22"/>
          <w:szCs w:val="22"/>
          <w:lang w:val="en-US"/>
        </w:rPr>
        <w:t xml:space="preserve"> for genotoxicity </w:t>
      </w:r>
      <w:r w:rsidR="00C1424E" w:rsidRPr="00AE37CA">
        <w:rPr>
          <w:rFonts w:asciiTheme="minorHAnsi" w:hAnsiTheme="minorHAnsi" w:cs="Times New Roman"/>
          <w:b w:val="0"/>
          <w:color w:val="auto"/>
          <w:sz w:val="22"/>
          <w:szCs w:val="22"/>
          <w:lang w:val="en-US"/>
        </w:rPr>
        <w:t>prediction</w:t>
      </w:r>
      <w:r w:rsidRPr="00AE37CA">
        <w:rPr>
          <w:rFonts w:asciiTheme="minorHAnsi" w:hAnsiTheme="minorHAnsi" w:cs="Times New Roman"/>
          <w:b w:val="0"/>
          <w:color w:val="auto"/>
          <w:sz w:val="22"/>
          <w:szCs w:val="22"/>
          <w:lang w:val="en-US"/>
        </w:rPr>
        <w:t>.</w:t>
      </w:r>
    </w:p>
    <w:tbl>
      <w:tblPr>
        <w:tblStyle w:val="Grigliatabella"/>
        <w:tblW w:w="0" w:type="auto"/>
        <w:tblLook w:val="04A0" w:firstRow="1" w:lastRow="0" w:firstColumn="1" w:lastColumn="0" w:noHBand="0" w:noVBand="1"/>
      </w:tblPr>
      <w:tblGrid>
        <w:gridCol w:w="1668"/>
        <w:gridCol w:w="4110"/>
        <w:gridCol w:w="4000"/>
      </w:tblGrid>
      <w:tr w:rsidR="00B01A2B" w:rsidRPr="00AE37CA" w14:paraId="4C6C1A58" w14:textId="77777777" w:rsidTr="008A333D">
        <w:trPr>
          <w:tblHeader/>
        </w:trPr>
        <w:tc>
          <w:tcPr>
            <w:tcW w:w="1668" w:type="dxa"/>
            <w:shd w:val="clear" w:color="auto" w:fill="BFBFBF" w:themeFill="background1" w:themeFillShade="BF"/>
          </w:tcPr>
          <w:p w14:paraId="18AA8554" w14:textId="77777777" w:rsidR="00B01A2B" w:rsidRPr="00AE37CA" w:rsidRDefault="00B01A2B" w:rsidP="00CA2F6F">
            <w:pPr>
              <w:rPr>
                <w:rFonts w:cs="Times New Roman"/>
                <w:b/>
                <w:sz w:val="20"/>
                <w:szCs w:val="20"/>
                <w:lang w:val="en-US"/>
              </w:rPr>
            </w:pPr>
          </w:p>
        </w:tc>
        <w:tc>
          <w:tcPr>
            <w:tcW w:w="4110" w:type="dxa"/>
            <w:shd w:val="clear" w:color="auto" w:fill="BFBFBF" w:themeFill="background1" w:themeFillShade="BF"/>
          </w:tcPr>
          <w:p w14:paraId="60C9AF85" w14:textId="77777777" w:rsidR="00B01A2B" w:rsidRPr="00AE37CA" w:rsidRDefault="00B01A2B" w:rsidP="00B01A2B">
            <w:pPr>
              <w:rPr>
                <w:rFonts w:cs="Times New Roman"/>
                <w:b/>
                <w:sz w:val="20"/>
                <w:szCs w:val="20"/>
                <w:lang w:val="en-US"/>
              </w:rPr>
            </w:pPr>
            <w:r w:rsidRPr="00AE37CA">
              <w:rPr>
                <w:rFonts w:cs="Times New Roman"/>
                <w:b/>
                <w:sz w:val="20"/>
                <w:szCs w:val="20"/>
                <w:lang w:val="en-US"/>
              </w:rPr>
              <w:t>ACD/Impurity Profiling (Salmonella composite model)</w:t>
            </w:r>
          </w:p>
        </w:tc>
        <w:tc>
          <w:tcPr>
            <w:tcW w:w="4000" w:type="dxa"/>
            <w:shd w:val="clear" w:color="auto" w:fill="BFBFBF" w:themeFill="background1" w:themeFillShade="BF"/>
          </w:tcPr>
          <w:p w14:paraId="345F7083" w14:textId="77777777" w:rsidR="00B01A2B" w:rsidRPr="00AE37CA" w:rsidRDefault="00B01A2B" w:rsidP="00CA2F6F">
            <w:pPr>
              <w:rPr>
                <w:rFonts w:cs="Times New Roman"/>
                <w:b/>
                <w:sz w:val="20"/>
                <w:szCs w:val="20"/>
                <w:lang w:val="en-US"/>
              </w:rPr>
            </w:pPr>
            <w:r w:rsidRPr="00AE37CA">
              <w:rPr>
                <w:rFonts w:cs="Times New Roman"/>
                <w:b/>
                <w:sz w:val="20"/>
                <w:szCs w:val="20"/>
                <w:lang w:val="en-US"/>
              </w:rPr>
              <w:t>Vega/CAESAR Mutagenicity model</w:t>
            </w:r>
          </w:p>
        </w:tc>
      </w:tr>
      <w:tr w:rsidR="00B01A2B" w:rsidRPr="00AE37CA" w14:paraId="179D3560" w14:textId="77777777" w:rsidTr="00A47980">
        <w:tc>
          <w:tcPr>
            <w:tcW w:w="1668" w:type="dxa"/>
          </w:tcPr>
          <w:p w14:paraId="6A3B8A1E" w14:textId="77777777" w:rsidR="00B01A2B" w:rsidRPr="00AE37CA" w:rsidRDefault="00AD0C7A" w:rsidP="00CA2F6F">
            <w:pPr>
              <w:rPr>
                <w:rFonts w:cs="Times New Roman"/>
                <w:b/>
                <w:sz w:val="20"/>
                <w:szCs w:val="20"/>
                <w:lang w:val="en-US"/>
              </w:rPr>
            </w:pPr>
            <w:r w:rsidRPr="00AE37CA">
              <w:rPr>
                <w:rFonts w:cs="Times New Roman"/>
                <w:b/>
                <w:sz w:val="20"/>
                <w:szCs w:val="20"/>
                <w:lang w:val="en-US"/>
              </w:rPr>
              <w:t>Background Information</w:t>
            </w:r>
          </w:p>
        </w:tc>
        <w:tc>
          <w:tcPr>
            <w:tcW w:w="4110" w:type="dxa"/>
          </w:tcPr>
          <w:p w14:paraId="092E8D2C" w14:textId="77777777" w:rsidR="00B01A2B" w:rsidRPr="00AE37CA" w:rsidRDefault="00AD0C7A" w:rsidP="00CA2F6F">
            <w:pPr>
              <w:rPr>
                <w:rFonts w:cs="Times New Roman"/>
                <w:sz w:val="20"/>
                <w:szCs w:val="20"/>
                <w:lang w:val="en-US"/>
              </w:rPr>
            </w:pPr>
            <w:r w:rsidRPr="00AE37CA">
              <w:rPr>
                <w:rFonts w:cs="Times New Roman"/>
                <w:sz w:val="20"/>
                <w:szCs w:val="20"/>
                <w:lang w:val="en-US"/>
              </w:rPr>
              <w:t xml:space="preserve">ACD/Percepta Package for Toxicity Screening of Impurities (ACD/Impurity Profiling) provides a battery of </w:t>
            </w:r>
            <w:r w:rsidRPr="00AE37CA">
              <w:rPr>
                <w:rFonts w:cs="Times New Roman"/>
                <w:i/>
                <w:sz w:val="20"/>
                <w:szCs w:val="20"/>
                <w:lang w:val="en-US"/>
              </w:rPr>
              <w:t>in silico</w:t>
            </w:r>
            <w:r w:rsidRPr="00AE37CA">
              <w:rPr>
                <w:rFonts w:cs="Times New Roman"/>
                <w:sz w:val="20"/>
                <w:szCs w:val="20"/>
                <w:lang w:val="en-US"/>
              </w:rPr>
              <w:t xml:space="preserve"> models to accurately assess the genotoxic and carcinogenic potential of chemicals. The impurity profiling module is a result of the collaboration between ACD/Labs and FDA Center for Food Safety and Nutrition (CFSAN). This module includes probabilistic predictive models for 21 different endpoints that cover various mechanisms of hazardous activity (including Mutagenicity, Clastogenicity, DNA damage mechanisms, Carcinogenicity and Endocrine Disruption mechanisms), and that are based on experimental data obtained from FDA.</w:t>
            </w:r>
          </w:p>
        </w:tc>
        <w:tc>
          <w:tcPr>
            <w:tcW w:w="4000" w:type="dxa"/>
          </w:tcPr>
          <w:p w14:paraId="59EA9684" w14:textId="6F8FB15B" w:rsidR="00B01A2B" w:rsidRPr="00AE37CA" w:rsidRDefault="00AD0C7A" w:rsidP="00A47980">
            <w:pPr>
              <w:rPr>
                <w:rFonts w:cs="Times New Roman"/>
                <w:sz w:val="20"/>
                <w:szCs w:val="20"/>
                <w:lang w:val="en-US"/>
              </w:rPr>
            </w:pPr>
            <w:r w:rsidRPr="00AE37CA">
              <w:rPr>
                <w:rFonts w:cs="Times New Roman"/>
                <w:sz w:val="20"/>
                <w:szCs w:val="20"/>
                <w:lang w:val="en-US"/>
              </w:rPr>
              <w:t>Vega (</w:t>
            </w:r>
            <w:r w:rsidR="00A47980" w:rsidRPr="00AE37CA">
              <w:rPr>
                <w:rFonts w:cs="Times New Roman"/>
                <w:sz w:val="20"/>
                <w:szCs w:val="20"/>
                <w:lang w:val="en-US"/>
              </w:rPr>
              <w:t xml:space="preserve">Virtual Models for evaluating the properties of chemicals within a global architecture, version 1.1.1, 2015 - </w:t>
            </w:r>
            <w:r w:rsidRPr="00AE37CA">
              <w:rPr>
                <w:rFonts w:cs="Times New Roman"/>
                <w:sz w:val="20"/>
                <w:szCs w:val="20"/>
                <w:lang w:val="en-US"/>
              </w:rPr>
              <w:t>VegaNIC application, Laboratory of Environmental Chemistry and Toxicology of Mario Negri Instit</w:t>
            </w:r>
            <w:r w:rsidR="00A47980" w:rsidRPr="00AE37CA">
              <w:rPr>
                <w:rFonts w:cs="Times New Roman"/>
                <w:sz w:val="20"/>
                <w:szCs w:val="20"/>
                <w:lang w:val="en-US"/>
              </w:rPr>
              <w:t>ute of Pharmacological Research</w:t>
            </w:r>
            <w:r w:rsidRPr="00AE37CA">
              <w:rPr>
                <w:rFonts w:cs="Times New Roman"/>
                <w:sz w:val="20"/>
                <w:szCs w:val="20"/>
                <w:lang w:val="en-US"/>
              </w:rPr>
              <w:t>) is a platform developed based on contributions from the EU projects CAESAR, ORCHESTRA and ANTARES. Vega Mutagenicity model includes CAES</w:t>
            </w:r>
            <w:r w:rsidR="00C03C56" w:rsidRPr="00AE37CA">
              <w:rPr>
                <w:rFonts w:cs="Times New Roman"/>
                <w:sz w:val="20"/>
                <w:szCs w:val="20"/>
                <w:lang w:val="en-US"/>
              </w:rPr>
              <w:t>AR QSAR model for mutagenicity</w:t>
            </w:r>
            <w:r w:rsidRPr="00AE37CA">
              <w:rPr>
                <w:rFonts w:cs="Times New Roman"/>
                <w:sz w:val="20"/>
                <w:szCs w:val="20"/>
                <w:lang w:val="en-US"/>
              </w:rPr>
              <w:t>.</w:t>
            </w:r>
          </w:p>
        </w:tc>
      </w:tr>
      <w:tr w:rsidR="00C03C56" w:rsidRPr="00AE37CA" w14:paraId="7B383AB2" w14:textId="77777777" w:rsidTr="00A47980">
        <w:tc>
          <w:tcPr>
            <w:tcW w:w="1668" w:type="dxa"/>
          </w:tcPr>
          <w:p w14:paraId="05155B2D" w14:textId="77777777" w:rsidR="00C03C56" w:rsidRPr="00AE37CA" w:rsidRDefault="00C03C56" w:rsidP="00CA2F6F">
            <w:pPr>
              <w:rPr>
                <w:rFonts w:cs="Times New Roman"/>
                <w:b/>
                <w:sz w:val="20"/>
                <w:szCs w:val="20"/>
                <w:lang w:val="en-US"/>
              </w:rPr>
            </w:pPr>
            <w:r w:rsidRPr="00AE37CA">
              <w:rPr>
                <w:rFonts w:cs="Times New Roman"/>
                <w:b/>
                <w:sz w:val="20"/>
                <w:szCs w:val="20"/>
                <w:lang w:val="en-US"/>
              </w:rPr>
              <w:t>Availability</w:t>
            </w:r>
          </w:p>
        </w:tc>
        <w:tc>
          <w:tcPr>
            <w:tcW w:w="4110" w:type="dxa"/>
          </w:tcPr>
          <w:p w14:paraId="1F5782C6" w14:textId="77777777" w:rsidR="00C03C56" w:rsidRPr="00AE37CA" w:rsidRDefault="00C03C56" w:rsidP="00CA2F6F">
            <w:pPr>
              <w:rPr>
                <w:rFonts w:cs="Times New Roman"/>
                <w:sz w:val="20"/>
                <w:szCs w:val="20"/>
                <w:lang w:val="en-US"/>
              </w:rPr>
            </w:pPr>
            <w:r w:rsidRPr="00AE37CA">
              <w:rPr>
                <w:rFonts w:cs="Times New Roman"/>
                <w:sz w:val="20"/>
                <w:szCs w:val="20"/>
                <w:lang w:val="en-US"/>
              </w:rPr>
              <w:t>Commercial</w:t>
            </w:r>
          </w:p>
        </w:tc>
        <w:tc>
          <w:tcPr>
            <w:tcW w:w="4000" w:type="dxa"/>
          </w:tcPr>
          <w:p w14:paraId="7B40ACF5" w14:textId="09D102EC" w:rsidR="00C03C56" w:rsidRPr="00AE37CA" w:rsidRDefault="00A47980" w:rsidP="00C03C56">
            <w:pPr>
              <w:rPr>
                <w:rFonts w:cs="Times New Roman"/>
                <w:sz w:val="20"/>
                <w:szCs w:val="20"/>
                <w:lang w:val="en-US"/>
              </w:rPr>
            </w:pPr>
            <w:r w:rsidRPr="00AE37CA">
              <w:rPr>
                <w:rFonts w:cs="Times New Roman"/>
                <w:sz w:val="20"/>
                <w:szCs w:val="20"/>
                <w:lang w:val="en-US"/>
              </w:rPr>
              <w:t>Free</w:t>
            </w:r>
          </w:p>
        </w:tc>
      </w:tr>
      <w:tr w:rsidR="00C03C56" w:rsidRPr="00AE37CA" w14:paraId="57574AF6" w14:textId="77777777" w:rsidTr="00A47980">
        <w:tc>
          <w:tcPr>
            <w:tcW w:w="1668" w:type="dxa"/>
          </w:tcPr>
          <w:p w14:paraId="3730BD12" w14:textId="77777777" w:rsidR="00C03C56" w:rsidRPr="00AE37CA" w:rsidRDefault="00C03C56" w:rsidP="00CA2F6F">
            <w:pPr>
              <w:rPr>
                <w:rFonts w:cs="Times New Roman"/>
                <w:b/>
                <w:sz w:val="20"/>
                <w:szCs w:val="20"/>
                <w:lang w:val="en-US"/>
              </w:rPr>
            </w:pPr>
            <w:r w:rsidRPr="00AE37CA">
              <w:rPr>
                <w:rFonts w:cs="Times New Roman"/>
                <w:b/>
                <w:sz w:val="20"/>
                <w:szCs w:val="20"/>
                <w:lang w:val="en-US"/>
              </w:rPr>
              <w:t>Dataset</w:t>
            </w:r>
          </w:p>
        </w:tc>
        <w:tc>
          <w:tcPr>
            <w:tcW w:w="4110" w:type="dxa"/>
          </w:tcPr>
          <w:p w14:paraId="63D21F7F" w14:textId="77777777" w:rsidR="00C03C56" w:rsidRPr="00AE37CA" w:rsidRDefault="00C03C56" w:rsidP="00CA2F6F">
            <w:pPr>
              <w:rPr>
                <w:rFonts w:cs="Times New Roman"/>
                <w:sz w:val="20"/>
                <w:szCs w:val="20"/>
                <w:lang w:val="en-US"/>
              </w:rPr>
            </w:pPr>
            <w:r w:rsidRPr="00AE37CA">
              <w:rPr>
                <w:rFonts w:cs="Times New Roman"/>
                <w:sz w:val="20"/>
                <w:szCs w:val="20"/>
                <w:lang w:val="en-US"/>
              </w:rPr>
              <w:t>7826 compounds (49.5% positive)</w:t>
            </w:r>
          </w:p>
        </w:tc>
        <w:tc>
          <w:tcPr>
            <w:tcW w:w="4000" w:type="dxa"/>
          </w:tcPr>
          <w:p w14:paraId="0F0F41AD" w14:textId="55CB367D" w:rsidR="00C03C56" w:rsidRPr="00AE37CA" w:rsidRDefault="00BC63AD" w:rsidP="00CA2F6F">
            <w:pPr>
              <w:rPr>
                <w:rFonts w:cs="Times New Roman"/>
                <w:sz w:val="20"/>
                <w:szCs w:val="20"/>
                <w:lang w:val="en-US"/>
              </w:rPr>
            </w:pPr>
            <w:r w:rsidRPr="00AE37CA">
              <w:rPr>
                <w:rFonts w:cs="Times New Roman"/>
                <w:sz w:val="20"/>
                <w:szCs w:val="20"/>
                <w:lang w:val="en-US"/>
              </w:rPr>
              <w:t>3253</w:t>
            </w:r>
            <w:r w:rsidR="00C03C56" w:rsidRPr="00AE37CA">
              <w:rPr>
                <w:rFonts w:cs="Times New Roman"/>
                <w:sz w:val="20"/>
                <w:szCs w:val="20"/>
                <w:lang w:val="en-US"/>
              </w:rPr>
              <w:t xml:space="preserve"> compounds</w:t>
            </w:r>
          </w:p>
        </w:tc>
      </w:tr>
      <w:tr w:rsidR="00B01A2B" w:rsidRPr="007C7619" w14:paraId="5A72E19E" w14:textId="77777777" w:rsidTr="00A47980">
        <w:tc>
          <w:tcPr>
            <w:tcW w:w="1668" w:type="dxa"/>
          </w:tcPr>
          <w:p w14:paraId="4AE39349" w14:textId="77777777" w:rsidR="00B01A2B" w:rsidRPr="00AE37CA" w:rsidRDefault="00AD0C7A" w:rsidP="00CA2F6F">
            <w:pPr>
              <w:rPr>
                <w:rFonts w:cs="Times New Roman"/>
                <w:b/>
                <w:sz w:val="20"/>
                <w:szCs w:val="20"/>
                <w:lang w:val="en-US"/>
              </w:rPr>
            </w:pPr>
            <w:r w:rsidRPr="00AE37CA">
              <w:rPr>
                <w:rFonts w:cs="Times New Roman"/>
                <w:b/>
                <w:sz w:val="20"/>
                <w:szCs w:val="20"/>
                <w:lang w:val="en-US"/>
              </w:rPr>
              <w:t>Modelling algorithm</w:t>
            </w:r>
          </w:p>
        </w:tc>
        <w:tc>
          <w:tcPr>
            <w:tcW w:w="4110" w:type="dxa"/>
          </w:tcPr>
          <w:p w14:paraId="17964225" w14:textId="2268C87A" w:rsidR="00B01A2B" w:rsidRPr="00AE37CA" w:rsidRDefault="00AD0C7A" w:rsidP="00CA2F6F">
            <w:pPr>
              <w:rPr>
                <w:rFonts w:cs="Times New Roman"/>
                <w:sz w:val="20"/>
                <w:szCs w:val="20"/>
                <w:lang w:val="en-US"/>
              </w:rPr>
            </w:pPr>
            <w:r w:rsidRPr="00AE37CA">
              <w:rPr>
                <w:rFonts w:cs="Times New Roman"/>
                <w:sz w:val="20"/>
                <w:szCs w:val="20"/>
                <w:lang w:val="en-US"/>
              </w:rPr>
              <w:t>Probabilistic predictive models were developed us</w:t>
            </w:r>
            <w:r w:rsidR="00A47980" w:rsidRPr="00AE37CA">
              <w:rPr>
                <w:rFonts w:cs="Times New Roman"/>
                <w:sz w:val="20"/>
                <w:szCs w:val="20"/>
                <w:lang w:val="en-US"/>
              </w:rPr>
              <w:t>ing GALAS modelling methodology</w:t>
            </w:r>
            <w:r w:rsidRPr="00AE37CA">
              <w:rPr>
                <w:rFonts w:cs="Times New Roman"/>
                <w:sz w:val="20"/>
                <w:szCs w:val="20"/>
                <w:lang w:val="en-US"/>
              </w:rPr>
              <w:t xml:space="preserve">. Each GALAS model consists of two parts: 1) a global (baseline) model, built using binomial PLS method based on fragmental descriptors, that reflects a “cumulative” mutagenicity potential; 2) local corrections are applied to baseline </w:t>
            </w:r>
            <w:r w:rsidRPr="00AE37CA">
              <w:rPr>
                <w:rFonts w:cs="Times New Roman"/>
                <w:sz w:val="20"/>
                <w:szCs w:val="20"/>
                <w:lang w:val="en-US"/>
              </w:rPr>
              <w:lastRenderedPageBreak/>
              <w:t>predictions using a special similarity-based routine, after performing an analysis for the most similar compounds used in the training set.</w:t>
            </w:r>
          </w:p>
        </w:tc>
        <w:tc>
          <w:tcPr>
            <w:tcW w:w="4000" w:type="dxa"/>
          </w:tcPr>
          <w:p w14:paraId="7A744B1F" w14:textId="77777777" w:rsidR="00B01A2B" w:rsidRPr="00AE37CA" w:rsidRDefault="00AD0C7A" w:rsidP="00CA2F6F">
            <w:pPr>
              <w:rPr>
                <w:rFonts w:cs="Times New Roman"/>
                <w:sz w:val="20"/>
                <w:szCs w:val="20"/>
                <w:lang w:val="en-US"/>
              </w:rPr>
            </w:pPr>
            <w:r w:rsidRPr="00AE37CA">
              <w:rPr>
                <w:rFonts w:cs="Times New Roman"/>
                <w:sz w:val="20"/>
                <w:szCs w:val="20"/>
                <w:lang w:val="en-US"/>
              </w:rPr>
              <w:lastRenderedPageBreak/>
              <w:t>It is an integrated model made of two complementary techniques: a machine learning algorithm (SVM), to build an early model with the best statistical accuracy, equipped with an expert facility for false negatives removal based on known structural alerts, to refine its predictions.</w:t>
            </w:r>
          </w:p>
        </w:tc>
      </w:tr>
      <w:tr w:rsidR="00B01A2B" w:rsidRPr="007C7619" w14:paraId="2BD90D08" w14:textId="77777777" w:rsidTr="00A47980">
        <w:tc>
          <w:tcPr>
            <w:tcW w:w="1668" w:type="dxa"/>
          </w:tcPr>
          <w:p w14:paraId="04463FE5" w14:textId="77777777" w:rsidR="00B01A2B" w:rsidRPr="00AE37CA" w:rsidRDefault="00C03C56" w:rsidP="00CA2F6F">
            <w:pPr>
              <w:rPr>
                <w:rFonts w:cs="Times New Roman"/>
                <w:b/>
                <w:sz w:val="20"/>
                <w:szCs w:val="20"/>
                <w:lang w:val="en-US"/>
              </w:rPr>
            </w:pPr>
            <w:r w:rsidRPr="00AE37CA">
              <w:rPr>
                <w:rFonts w:cs="Times New Roman"/>
                <w:b/>
                <w:sz w:val="20"/>
                <w:szCs w:val="20"/>
                <w:lang w:val="en-US"/>
              </w:rPr>
              <w:t>Outcome</w:t>
            </w:r>
          </w:p>
        </w:tc>
        <w:tc>
          <w:tcPr>
            <w:tcW w:w="4110" w:type="dxa"/>
          </w:tcPr>
          <w:p w14:paraId="160DF156" w14:textId="3B7CDABC" w:rsidR="00B01A2B" w:rsidRPr="00AE37CA" w:rsidRDefault="00C03C56" w:rsidP="00CA2F6F">
            <w:pPr>
              <w:rPr>
                <w:rFonts w:cs="Times New Roman"/>
                <w:sz w:val="20"/>
                <w:szCs w:val="20"/>
                <w:lang w:val="en-US"/>
              </w:rPr>
            </w:pPr>
            <w:r w:rsidRPr="00AE37CA">
              <w:rPr>
                <w:rFonts w:cs="Times New Roman"/>
                <w:sz w:val="20"/>
                <w:szCs w:val="20"/>
                <w:lang w:val="en-US"/>
              </w:rPr>
              <w:t xml:space="preserve">The probabilistic models provide: the probability that a compound will result in a positive test in the respective assay (“p-value”); an indication of whether the compound belongs to the model applicability domain according </w:t>
            </w:r>
            <w:r w:rsidR="00A47980" w:rsidRPr="00AE37CA">
              <w:rPr>
                <w:rFonts w:cs="Times New Roman"/>
                <w:sz w:val="20"/>
                <w:szCs w:val="20"/>
                <w:lang w:val="en-US"/>
              </w:rPr>
              <w:t xml:space="preserve">to the calculated RI value; </w:t>
            </w:r>
            <w:r w:rsidRPr="00AE37CA">
              <w:rPr>
                <w:rFonts w:cs="Times New Roman"/>
                <w:sz w:val="20"/>
                <w:szCs w:val="20"/>
                <w:lang w:val="en-US"/>
              </w:rPr>
              <w:t>a “positive” or “negative” call if the compound can be reliably classified on the basis of p and RI values (“Undefined” otherwise)</w:t>
            </w:r>
          </w:p>
        </w:tc>
        <w:tc>
          <w:tcPr>
            <w:tcW w:w="4000" w:type="dxa"/>
          </w:tcPr>
          <w:p w14:paraId="2FF02C1C" w14:textId="3A724DAE" w:rsidR="00B01A2B" w:rsidRPr="00AE37CA" w:rsidRDefault="00A47980" w:rsidP="00CA2F6F">
            <w:pPr>
              <w:rPr>
                <w:rFonts w:cs="Times New Roman"/>
                <w:sz w:val="20"/>
                <w:szCs w:val="20"/>
                <w:lang w:val="en-US"/>
              </w:rPr>
            </w:pPr>
            <w:r w:rsidRPr="00AE37CA">
              <w:rPr>
                <w:rFonts w:cs="Times New Roman"/>
                <w:sz w:val="20"/>
                <w:szCs w:val="20"/>
                <w:lang w:val="en-US"/>
              </w:rPr>
              <w:t>The model provides a qualitative prediction of mutagenicity on Sal</w:t>
            </w:r>
            <w:r w:rsidR="00BC63AD" w:rsidRPr="00AE37CA">
              <w:rPr>
                <w:rFonts w:cs="Times New Roman"/>
                <w:sz w:val="20"/>
                <w:szCs w:val="20"/>
                <w:lang w:val="en-US"/>
              </w:rPr>
              <w:t>monella typhimurium (Ames test), information on applicability domain (ADI index), and reasoning on identified fragments and/or structural alerts.</w:t>
            </w:r>
          </w:p>
        </w:tc>
      </w:tr>
      <w:tr w:rsidR="00C03C56" w:rsidRPr="00AE37CA" w14:paraId="44B56BDF" w14:textId="77777777" w:rsidTr="00A47980">
        <w:tc>
          <w:tcPr>
            <w:tcW w:w="1668" w:type="dxa"/>
          </w:tcPr>
          <w:p w14:paraId="40D5C419" w14:textId="77777777" w:rsidR="00C03C56" w:rsidRPr="00AE37CA" w:rsidRDefault="00C03C56" w:rsidP="00CA2F6F">
            <w:pPr>
              <w:rPr>
                <w:rFonts w:cs="Times New Roman"/>
                <w:b/>
                <w:sz w:val="20"/>
                <w:szCs w:val="20"/>
                <w:lang w:val="en-US"/>
              </w:rPr>
            </w:pPr>
            <w:r w:rsidRPr="00AE37CA">
              <w:rPr>
                <w:rFonts w:cs="Times New Roman"/>
                <w:b/>
                <w:sz w:val="20"/>
                <w:szCs w:val="20"/>
                <w:lang w:val="en-US"/>
              </w:rPr>
              <w:t>Model Statistics</w:t>
            </w:r>
          </w:p>
        </w:tc>
        <w:tc>
          <w:tcPr>
            <w:tcW w:w="4110" w:type="dxa"/>
          </w:tcPr>
          <w:p w14:paraId="63D0C4E7" w14:textId="77777777" w:rsidR="00C03C56" w:rsidRPr="00AE37CA" w:rsidRDefault="00C03C56" w:rsidP="00CA2F6F">
            <w:pPr>
              <w:rPr>
                <w:rFonts w:cs="Times New Roman"/>
                <w:sz w:val="20"/>
                <w:szCs w:val="20"/>
                <w:lang w:val="en-US"/>
              </w:rPr>
            </w:pPr>
            <w:r w:rsidRPr="00AE37CA">
              <w:rPr>
                <w:rFonts w:cs="Times New Roman"/>
                <w:sz w:val="20"/>
                <w:szCs w:val="20"/>
                <w:lang w:val="en-US"/>
              </w:rPr>
              <w:t>Sensitivity = 87.1%, Specificity = 81.7%</w:t>
            </w:r>
          </w:p>
        </w:tc>
        <w:tc>
          <w:tcPr>
            <w:tcW w:w="4000" w:type="dxa"/>
          </w:tcPr>
          <w:p w14:paraId="5B1EB93E" w14:textId="7BE050F9" w:rsidR="00C03C56" w:rsidRPr="00AE37CA" w:rsidRDefault="00BC63AD" w:rsidP="00BC63AD">
            <w:pPr>
              <w:rPr>
                <w:rFonts w:cs="Times New Roman"/>
                <w:sz w:val="20"/>
                <w:szCs w:val="20"/>
                <w:lang w:val="en-US"/>
              </w:rPr>
            </w:pPr>
            <w:r w:rsidRPr="00AE37CA">
              <w:rPr>
                <w:rFonts w:cs="Times New Roman"/>
                <w:sz w:val="20"/>
                <w:szCs w:val="20"/>
                <w:lang w:val="en-US"/>
              </w:rPr>
              <w:t>Sensitivity = 97%, Specificity = 86%</w:t>
            </w:r>
          </w:p>
        </w:tc>
      </w:tr>
      <w:tr w:rsidR="00B01A2B" w:rsidRPr="007C7619" w14:paraId="047AB87C" w14:textId="77777777" w:rsidTr="00A47980">
        <w:tc>
          <w:tcPr>
            <w:tcW w:w="1668" w:type="dxa"/>
          </w:tcPr>
          <w:p w14:paraId="7EF81683" w14:textId="77777777" w:rsidR="00B01A2B" w:rsidRPr="00AE37CA" w:rsidRDefault="00C03C56" w:rsidP="00CA2F6F">
            <w:pPr>
              <w:rPr>
                <w:rFonts w:cs="Times New Roman"/>
                <w:b/>
                <w:sz w:val="20"/>
                <w:szCs w:val="20"/>
                <w:lang w:val="en-US"/>
              </w:rPr>
            </w:pPr>
            <w:r w:rsidRPr="00AE37CA">
              <w:rPr>
                <w:rFonts w:cs="Times New Roman"/>
                <w:b/>
                <w:sz w:val="20"/>
                <w:szCs w:val="20"/>
                <w:lang w:val="en-US"/>
              </w:rPr>
              <w:t>Prediction Reliability</w:t>
            </w:r>
          </w:p>
        </w:tc>
        <w:tc>
          <w:tcPr>
            <w:tcW w:w="4110" w:type="dxa"/>
          </w:tcPr>
          <w:p w14:paraId="0DD10481" w14:textId="5614A69F" w:rsidR="00C03C56" w:rsidRPr="00AE37CA" w:rsidRDefault="00C03C56" w:rsidP="008A333D">
            <w:pPr>
              <w:rPr>
                <w:rFonts w:cs="Times New Roman"/>
                <w:sz w:val="20"/>
                <w:szCs w:val="20"/>
                <w:lang w:val="en-US"/>
              </w:rPr>
            </w:pPr>
            <w:r w:rsidRPr="00AE37CA">
              <w:rPr>
                <w:rFonts w:cs="Times New Roman"/>
                <w:sz w:val="20"/>
                <w:szCs w:val="20"/>
                <w:lang w:val="en-US"/>
              </w:rPr>
              <w:t>Reliability Index (RI)</w:t>
            </w:r>
            <w:r w:rsidR="008A333D" w:rsidRPr="00AE37CA">
              <w:rPr>
                <w:rFonts w:cs="Times New Roman"/>
                <w:sz w:val="20"/>
                <w:szCs w:val="20"/>
                <w:lang w:val="en-US"/>
              </w:rPr>
              <w:t xml:space="preserve">: it </w:t>
            </w:r>
            <w:r w:rsidRPr="00AE37CA">
              <w:rPr>
                <w:rFonts w:cs="Times New Roman"/>
                <w:sz w:val="20"/>
                <w:szCs w:val="20"/>
                <w:lang w:val="en-US"/>
              </w:rPr>
              <w:t>range</w:t>
            </w:r>
            <w:r w:rsidR="008A333D" w:rsidRPr="00AE37CA">
              <w:rPr>
                <w:rFonts w:cs="Times New Roman"/>
                <w:sz w:val="20"/>
                <w:szCs w:val="20"/>
                <w:lang w:val="en-US"/>
              </w:rPr>
              <w:t>s</w:t>
            </w:r>
            <w:r w:rsidRPr="00AE37CA">
              <w:rPr>
                <w:rFonts w:cs="Times New Roman"/>
                <w:sz w:val="20"/>
                <w:szCs w:val="20"/>
                <w:lang w:val="en-US"/>
              </w:rPr>
              <w:t xml:space="preserve"> from 0 to 1</w:t>
            </w:r>
            <w:r w:rsidR="008A333D" w:rsidRPr="00AE37CA">
              <w:rPr>
                <w:rFonts w:cs="Times New Roman"/>
                <w:sz w:val="20"/>
                <w:szCs w:val="20"/>
                <w:lang w:val="en-US"/>
              </w:rPr>
              <w:t>,</w:t>
            </w:r>
            <w:r w:rsidRPr="00AE37CA">
              <w:rPr>
                <w:rFonts w:cs="Times New Roman"/>
                <w:sz w:val="20"/>
                <w:szCs w:val="20"/>
                <w:lang w:val="en-US"/>
              </w:rPr>
              <w:t xml:space="preserve"> and gives an evaluation of whether a submitted compound falls within the Model Applicability Domain. In particular: RI &lt; 0.3 (Not Reliable), RI in range 0.3-0.5 (Borderline Reliability), RI in range 0.5-0.75 (Moderate Reliability), RI &gt;= 0.75 (High Reliability). Estimation of the RI takes into account the following two aspects: similarity of the tested compound to the training set and the consistency of experimental values for similar compounds.</w:t>
            </w:r>
          </w:p>
        </w:tc>
        <w:tc>
          <w:tcPr>
            <w:tcW w:w="4000" w:type="dxa"/>
          </w:tcPr>
          <w:p w14:paraId="5BC089FE" w14:textId="760DE2BE" w:rsidR="00B01A2B" w:rsidRPr="00AE37CA" w:rsidRDefault="00C03C56" w:rsidP="00B00CD4">
            <w:pPr>
              <w:rPr>
                <w:rFonts w:cs="Times New Roman"/>
                <w:sz w:val="20"/>
                <w:szCs w:val="20"/>
                <w:lang w:val="en-US"/>
              </w:rPr>
            </w:pPr>
            <w:r w:rsidRPr="00AE37CA">
              <w:rPr>
                <w:rFonts w:cs="Times New Roman"/>
                <w:sz w:val="20"/>
                <w:szCs w:val="20"/>
                <w:lang w:val="en-US"/>
              </w:rPr>
              <w:t>Applicability Domain Index (ADI)</w:t>
            </w:r>
            <w:r w:rsidR="008A333D" w:rsidRPr="00AE37CA">
              <w:rPr>
                <w:rFonts w:cs="Times New Roman"/>
                <w:sz w:val="20"/>
                <w:szCs w:val="20"/>
                <w:lang w:val="en-US"/>
              </w:rPr>
              <w:t xml:space="preserve">: it ranges </w:t>
            </w:r>
            <w:r w:rsidRPr="00AE37CA">
              <w:rPr>
                <w:rFonts w:cs="Times New Roman"/>
                <w:sz w:val="20"/>
                <w:szCs w:val="20"/>
                <w:lang w:val="en-US"/>
              </w:rPr>
              <w:t>from 0 to 1</w:t>
            </w:r>
            <w:r w:rsidR="008A333D" w:rsidRPr="00AE37CA">
              <w:rPr>
                <w:rFonts w:cs="Times New Roman"/>
                <w:sz w:val="20"/>
                <w:szCs w:val="20"/>
                <w:lang w:val="en-US"/>
              </w:rPr>
              <w:t>, and gives an evaluation of whether a submitted compound falls within the Model Applicability Domain.</w:t>
            </w:r>
            <w:r w:rsidRPr="00AE37CA">
              <w:rPr>
                <w:rFonts w:cs="Times New Roman"/>
                <w:sz w:val="20"/>
                <w:szCs w:val="20"/>
                <w:lang w:val="en-US"/>
              </w:rPr>
              <w:t xml:space="preserve"> </w:t>
            </w:r>
            <w:r w:rsidR="008A333D" w:rsidRPr="00AE37CA">
              <w:rPr>
                <w:rFonts w:cs="Times New Roman"/>
                <w:sz w:val="20"/>
                <w:szCs w:val="20"/>
                <w:lang w:val="en-US"/>
              </w:rPr>
              <w:t xml:space="preserve">In particular: ADI &gt; </w:t>
            </w:r>
            <w:r w:rsidRPr="00AE37CA">
              <w:rPr>
                <w:rFonts w:cs="Times New Roman"/>
                <w:sz w:val="20"/>
                <w:szCs w:val="20"/>
                <w:lang w:val="en-US"/>
              </w:rPr>
              <w:t xml:space="preserve">0.9 means that the predicted substance is into the </w:t>
            </w:r>
            <w:r w:rsidR="008A333D" w:rsidRPr="00AE37CA">
              <w:rPr>
                <w:rFonts w:cs="Times New Roman"/>
                <w:sz w:val="20"/>
                <w:szCs w:val="20"/>
                <w:lang w:val="en-US"/>
              </w:rPr>
              <w:t>AD</w:t>
            </w:r>
            <w:r w:rsidRPr="00AE37CA">
              <w:rPr>
                <w:rFonts w:cs="Times New Roman"/>
                <w:sz w:val="20"/>
                <w:szCs w:val="20"/>
                <w:lang w:val="en-US"/>
              </w:rPr>
              <w:t xml:space="preserve"> of the model; ADI </w:t>
            </w:r>
            <w:r w:rsidR="008A333D" w:rsidRPr="00AE37CA">
              <w:rPr>
                <w:rFonts w:cs="Times New Roman"/>
                <w:sz w:val="20"/>
                <w:szCs w:val="20"/>
                <w:lang w:val="en-US"/>
              </w:rPr>
              <w:t>&lt;</w:t>
            </w:r>
            <w:r w:rsidRPr="00AE37CA">
              <w:rPr>
                <w:rFonts w:cs="Times New Roman"/>
                <w:sz w:val="20"/>
                <w:szCs w:val="20"/>
                <w:lang w:val="en-US"/>
              </w:rPr>
              <w:t xml:space="preserve"> 0.7 means that the predicted substance is out of the </w:t>
            </w:r>
            <w:r w:rsidR="008A333D" w:rsidRPr="00AE37CA">
              <w:rPr>
                <w:rFonts w:cs="Times New Roman"/>
                <w:sz w:val="20"/>
                <w:szCs w:val="20"/>
                <w:lang w:val="en-US"/>
              </w:rPr>
              <w:t xml:space="preserve">AD of the model; ADI in range 0.7-0.9 </w:t>
            </w:r>
            <w:r w:rsidRPr="00AE37CA">
              <w:rPr>
                <w:rFonts w:cs="Times New Roman"/>
                <w:sz w:val="20"/>
                <w:szCs w:val="20"/>
                <w:lang w:val="en-US"/>
              </w:rPr>
              <w:t xml:space="preserve">means that the predicted substance could be out of the </w:t>
            </w:r>
            <w:r w:rsidR="008A333D" w:rsidRPr="00AE37CA">
              <w:rPr>
                <w:rFonts w:cs="Times New Roman"/>
                <w:sz w:val="20"/>
                <w:szCs w:val="20"/>
                <w:lang w:val="en-US"/>
              </w:rPr>
              <w:t>AD</w:t>
            </w:r>
            <w:r w:rsidRPr="00AE37CA">
              <w:rPr>
                <w:rFonts w:cs="Times New Roman"/>
                <w:sz w:val="20"/>
                <w:szCs w:val="20"/>
                <w:lang w:val="en-US"/>
              </w:rPr>
              <w:t xml:space="preserve"> of the model. The ADI is calculated by grouping several other indices, each one taking into account a particular issue of the </w:t>
            </w:r>
            <w:r w:rsidR="00B00CD4" w:rsidRPr="00AE37CA">
              <w:rPr>
                <w:rFonts w:cs="Times New Roman"/>
                <w:sz w:val="20"/>
                <w:szCs w:val="20"/>
                <w:lang w:val="en-US"/>
              </w:rPr>
              <w:t>AD, e.g. similar molecules with known experimental value, concordance for similar molecules, accuracy of prediction for similar molecules, atom Centered Fragments similarity check, model descriptors range check.</w:t>
            </w:r>
            <w:r w:rsidRPr="00AE37CA">
              <w:rPr>
                <w:rFonts w:cs="Times New Roman"/>
                <w:sz w:val="20"/>
                <w:szCs w:val="20"/>
                <w:lang w:val="en-US"/>
              </w:rPr>
              <w:t xml:space="preserve"> </w:t>
            </w:r>
          </w:p>
        </w:tc>
      </w:tr>
      <w:tr w:rsidR="00C03C56" w:rsidRPr="007C7619" w14:paraId="0BA0D951" w14:textId="77777777" w:rsidTr="00A47980">
        <w:tc>
          <w:tcPr>
            <w:tcW w:w="1668" w:type="dxa"/>
          </w:tcPr>
          <w:p w14:paraId="73040D0A" w14:textId="77777777" w:rsidR="00C03C56" w:rsidRPr="00AE37CA" w:rsidRDefault="00C03C56" w:rsidP="00CA2F6F">
            <w:pPr>
              <w:rPr>
                <w:rFonts w:cs="Times New Roman"/>
                <w:b/>
                <w:sz w:val="20"/>
                <w:szCs w:val="20"/>
                <w:lang w:val="en-US"/>
              </w:rPr>
            </w:pPr>
            <w:r w:rsidRPr="00AE37CA">
              <w:rPr>
                <w:rFonts w:cs="Times New Roman"/>
                <w:b/>
                <w:sz w:val="20"/>
                <w:szCs w:val="20"/>
                <w:lang w:val="en-US"/>
              </w:rPr>
              <w:t>Mechanistic Information</w:t>
            </w:r>
          </w:p>
        </w:tc>
        <w:tc>
          <w:tcPr>
            <w:tcW w:w="4110" w:type="dxa"/>
          </w:tcPr>
          <w:p w14:paraId="7D7527F9" w14:textId="478ADAE1" w:rsidR="00C03C56" w:rsidRPr="00AE37CA" w:rsidRDefault="00BC63AD" w:rsidP="004D4AFD">
            <w:pPr>
              <w:rPr>
                <w:rFonts w:cs="Times New Roman"/>
                <w:sz w:val="20"/>
                <w:szCs w:val="20"/>
                <w:lang w:val="en-US"/>
              </w:rPr>
            </w:pPr>
            <w:r w:rsidRPr="00AE37CA">
              <w:rPr>
                <w:rFonts w:cs="Times New Roman"/>
                <w:sz w:val="20"/>
                <w:szCs w:val="20"/>
                <w:lang w:val="en-US"/>
              </w:rPr>
              <w:t xml:space="preserve">Structural alerts for </w:t>
            </w:r>
            <w:r w:rsidR="004D4AFD" w:rsidRPr="00AE37CA">
              <w:rPr>
                <w:rFonts w:cs="Times New Roman"/>
                <w:sz w:val="20"/>
                <w:szCs w:val="20"/>
                <w:lang w:val="en-US"/>
              </w:rPr>
              <w:t>mutagenicity</w:t>
            </w:r>
            <w:r w:rsidR="008A333D" w:rsidRPr="00AE37CA">
              <w:rPr>
                <w:rFonts w:cs="Times New Roman"/>
                <w:sz w:val="20"/>
                <w:szCs w:val="20"/>
                <w:lang w:val="en-US"/>
              </w:rPr>
              <w:t xml:space="preserve">, </w:t>
            </w:r>
            <w:r w:rsidR="004D4AFD" w:rsidRPr="00AE37CA">
              <w:rPr>
                <w:rFonts w:cs="Times New Roman"/>
                <w:sz w:val="20"/>
                <w:szCs w:val="20"/>
                <w:lang w:val="en-US"/>
              </w:rPr>
              <w:t>clastogenicity, and epigenetic carcinogenicity.</w:t>
            </w:r>
          </w:p>
        </w:tc>
        <w:tc>
          <w:tcPr>
            <w:tcW w:w="4000" w:type="dxa"/>
          </w:tcPr>
          <w:p w14:paraId="128B78AA" w14:textId="2B271C99" w:rsidR="00C03C56" w:rsidRPr="00AE37CA" w:rsidRDefault="004D4AFD" w:rsidP="00CA2F6F">
            <w:pPr>
              <w:rPr>
                <w:rFonts w:cs="Times New Roman"/>
                <w:sz w:val="20"/>
                <w:szCs w:val="20"/>
                <w:lang w:val="en-US"/>
              </w:rPr>
            </w:pPr>
            <w:r w:rsidRPr="00AE37CA">
              <w:rPr>
                <w:rFonts w:cs="Times New Roman"/>
                <w:sz w:val="20"/>
                <w:szCs w:val="20"/>
                <w:lang w:val="en-US"/>
              </w:rPr>
              <w:t>Structural alerts for mutagenicty and suspect mutagenicity.</w:t>
            </w:r>
          </w:p>
        </w:tc>
      </w:tr>
      <w:tr w:rsidR="00C03C56" w:rsidRPr="007C7619" w14:paraId="23D1EF93" w14:textId="77777777" w:rsidTr="00A47980">
        <w:tc>
          <w:tcPr>
            <w:tcW w:w="1668" w:type="dxa"/>
          </w:tcPr>
          <w:p w14:paraId="34BDBDCF" w14:textId="3822FADF" w:rsidR="00C03C56" w:rsidRPr="00AE37CA" w:rsidRDefault="008A333D" w:rsidP="00CA2F6F">
            <w:pPr>
              <w:rPr>
                <w:rFonts w:cs="Times New Roman"/>
                <w:b/>
                <w:sz w:val="20"/>
                <w:szCs w:val="20"/>
                <w:lang w:val="en-US"/>
              </w:rPr>
            </w:pPr>
            <w:r w:rsidRPr="00AE37CA">
              <w:rPr>
                <w:rFonts w:cs="Times New Roman"/>
                <w:b/>
                <w:sz w:val="20"/>
                <w:szCs w:val="20"/>
                <w:lang w:val="en-US"/>
              </w:rPr>
              <w:t>Structural analogues</w:t>
            </w:r>
          </w:p>
        </w:tc>
        <w:tc>
          <w:tcPr>
            <w:tcW w:w="4110" w:type="dxa"/>
          </w:tcPr>
          <w:p w14:paraId="6E278FAE" w14:textId="51331FAF" w:rsidR="00C03C56" w:rsidRPr="00AE37CA" w:rsidRDefault="004D4AFD" w:rsidP="00CA2F6F">
            <w:pPr>
              <w:rPr>
                <w:rFonts w:cs="Times New Roman"/>
                <w:sz w:val="20"/>
                <w:szCs w:val="20"/>
                <w:lang w:val="en-US"/>
              </w:rPr>
            </w:pPr>
            <w:r w:rsidRPr="00AE37CA">
              <w:rPr>
                <w:rFonts w:cs="Times New Roman"/>
                <w:sz w:val="20"/>
                <w:szCs w:val="20"/>
                <w:lang w:val="en-US"/>
              </w:rPr>
              <w:t>U</w:t>
            </w:r>
            <w:r w:rsidR="00C03C56" w:rsidRPr="00AE37CA">
              <w:rPr>
                <w:rFonts w:cs="Times New Roman"/>
                <w:sz w:val="20"/>
                <w:szCs w:val="20"/>
                <w:lang w:val="en-US"/>
              </w:rPr>
              <w:t xml:space="preserve">p to 5 most structurally similar structures from the training set </w:t>
            </w:r>
            <w:r w:rsidRPr="00AE37CA">
              <w:rPr>
                <w:rFonts w:cs="Times New Roman"/>
                <w:sz w:val="20"/>
                <w:szCs w:val="20"/>
                <w:lang w:val="en-US"/>
              </w:rPr>
              <w:t xml:space="preserve">are shown </w:t>
            </w:r>
            <w:r w:rsidR="00C03C56" w:rsidRPr="00AE37CA">
              <w:rPr>
                <w:rFonts w:cs="Times New Roman"/>
                <w:sz w:val="20"/>
                <w:szCs w:val="20"/>
                <w:lang w:val="en-US"/>
              </w:rPr>
              <w:t>along with experimental results. The structural similarity is evaluated by means of Tanimoto similarity coefficient (calculated using MACCS-II similarity key).</w:t>
            </w:r>
          </w:p>
        </w:tc>
        <w:tc>
          <w:tcPr>
            <w:tcW w:w="4000" w:type="dxa"/>
          </w:tcPr>
          <w:p w14:paraId="7EBFEC1C" w14:textId="05D31980" w:rsidR="00C03C56" w:rsidRPr="00AE37CA" w:rsidRDefault="004D4AFD" w:rsidP="00B00CD4">
            <w:pPr>
              <w:rPr>
                <w:rFonts w:cs="Times New Roman"/>
                <w:sz w:val="20"/>
                <w:szCs w:val="20"/>
                <w:lang w:val="en-US"/>
              </w:rPr>
            </w:pPr>
            <w:r w:rsidRPr="00AE37CA">
              <w:rPr>
                <w:rFonts w:cs="Times New Roman"/>
                <w:sz w:val="20"/>
                <w:szCs w:val="20"/>
                <w:lang w:val="en-US"/>
              </w:rPr>
              <w:t>Six most similar compounds found in the training and test set of the</w:t>
            </w:r>
            <w:r w:rsidR="008A333D" w:rsidRPr="00AE37CA">
              <w:rPr>
                <w:rFonts w:cs="Times New Roman"/>
                <w:sz w:val="20"/>
                <w:szCs w:val="20"/>
                <w:lang w:val="en-US"/>
              </w:rPr>
              <w:t xml:space="preserve"> m</w:t>
            </w:r>
            <w:r w:rsidRPr="00AE37CA">
              <w:rPr>
                <w:rFonts w:cs="Times New Roman"/>
                <w:sz w:val="20"/>
                <w:szCs w:val="20"/>
                <w:lang w:val="en-US"/>
              </w:rPr>
              <w:t>odel are shown, along with some relevant information (e.g., CAS, experimental and predicted value)</w:t>
            </w:r>
            <w:r w:rsidR="008A333D" w:rsidRPr="00AE37CA">
              <w:rPr>
                <w:rFonts w:cs="Times New Roman"/>
                <w:sz w:val="20"/>
                <w:szCs w:val="20"/>
                <w:lang w:val="en-US"/>
              </w:rPr>
              <w:t>.</w:t>
            </w:r>
            <w:r w:rsidR="00B00CD4" w:rsidRPr="00AE37CA">
              <w:rPr>
                <w:rFonts w:cs="Times New Roman"/>
                <w:sz w:val="20"/>
                <w:szCs w:val="20"/>
                <w:lang w:val="en-US"/>
              </w:rPr>
              <w:t xml:space="preserve"> The similarity index considers molecule's fingerprint and structural aspects (e.g., count of atoms, rings and relevant fragments).</w:t>
            </w:r>
          </w:p>
        </w:tc>
      </w:tr>
    </w:tbl>
    <w:p w14:paraId="47E0A88D" w14:textId="77777777" w:rsidR="00B01A2B" w:rsidRDefault="00B01A2B" w:rsidP="00CA2F6F">
      <w:pPr>
        <w:rPr>
          <w:rFonts w:ascii="Times New Roman" w:hAnsi="Times New Roman" w:cs="Times New Roman"/>
          <w:lang w:val="en-US"/>
        </w:rPr>
      </w:pPr>
    </w:p>
    <w:p w14:paraId="4E8C391C" w14:textId="77777777" w:rsidR="006C5CA1" w:rsidRDefault="006C5CA1" w:rsidP="00CA2F6F">
      <w:pPr>
        <w:rPr>
          <w:rFonts w:ascii="Times New Roman" w:hAnsi="Times New Roman" w:cs="Times New Roman"/>
          <w:lang w:val="en-US"/>
        </w:rPr>
      </w:pPr>
    </w:p>
    <w:p w14:paraId="7477B3AC" w14:textId="77777777" w:rsidR="006C5CA1" w:rsidRDefault="006C5CA1" w:rsidP="00CA2F6F">
      <w:pPr>
        <w:rPr>
          <w:rFonts w:ascii="Times New Roman" w:hAnsi="Times New Roman" w:cs="Times New Roman"/>
          <w:lang w:val="en-US"/>
        </w:rPr>
      </w:pPr>
    </w:p>
    <w:p w14:paraId="10AF1460" w14:textId="1A8CA72C" w:rsidR="000440B9" w:rsidRPr="007247D6" w:rsidRDefault="000440B9" w:rsidP="007247D6">
      <w:pPr>
        <w:pStyle w:val="Titolo2"/>
        <w:rPr>
          <w:rFonts w:ascii="Times New Roman" w:hAnsi="Times New Roman" w:cs="Times New Roman"/>
          <w:b w:val="0"/>
          <w:color w:val="auto"/>
          <w:sz w:val="22"/>
          <w:szCs w:val="22"/>
          <w:lang w:val="en-US"/>
        </w:rPr>
      </w:pPr>
      <w:r w:rsidRPr="00A8504E">
        <w:rPr>
          <w:rFonts w:asciiTheme="minorHAnsi" w:hAnsiTheme="minorHAnsi" w:cs="Times New Roman"/>
          <w:color w:val="auto"/>
          <w:sz w:val="22"/>
          <w:szCs w:val="22"/>
          <w:lang w:val="en-US"/>
        </w:rPr>
        <w:t xml:space="preserve">Table </w:t>
      </w:r>
      <w:r w:rsidR="00B65920" w:rsidRPr="00A8504E">
        <w:rPr>
          <w:rFonts w:asciiTheme="minorHAnsi" w:hAnsiTheme="minorHAnsi" w:cs="Times New Roman"/>
          <w:color w:val="auto"/>
          <w:sz w:val="22"/>
          <w:szCs w:val="22"/>
          <w:lang w:val="en-US"/>
        </w:rPr>
        <w:t>S</w:t>
      </w:r>
      <w:r w:rsidR="00B723F9">
        <w:rPr>
          <w:rFonts w:asciiTheme="minorHAnsi" w:hAnsiTheme="minorHAnsi" w:cs="Times New Roman"/>
          <w:color w:val="auto"/>
          <w:sz w:val="22"/>
          <w:szCs w:val="22"/>
          <w:lang w:val="en-US"/>
        </w:rPr>
        <w:t>5</w:t>
      </w:r>
      <w:r w:rsidRPr="00A8504E">
        <w:rPr>
          <w:rFonts w:asciiTheme="minorHAnsi" w:hAnsiTheme="minorHAnsi" w:cs="Times New Roman"/>
          <w:color w:val="auto"/>
          <w:sz w:val="22"/>
          <w:szCs w:val="22"/>
          <w:lang w:val="en-US"/>
        </w:rPr>
        <w:t>.</w:t>
      </w:r>
      <w:r w:rsidRPr="00A8504E">
        <w:rPr>
          <w:rFonts w:asciiTheme="minorHAnsi" w:hAnsiTheme="minorHAnsi" w:cs="Times New Roman"/>
          <w:b w:val="0"/>
          <w:color w:val="auto"/>
          <w:sz w:val="22"/>
          <w:szCs w:val="22"/>
          <w:lang w:val="en-US"/>
        </w:rPr>
        <w:t xml:space="preserve"> List of physico-chemical, structural and mechanistic descriptors.</w:t>
      </w:r>
      <w:r w:rsidR="00E043AC">
        <w:rPr>
          <w:rFonts w:asciiTheme="minorHAnsi" w:hAnsiTheme="minorHAnsi" w:cs="Times New Roman"/>
          <w:b w:val="0"/>
          <w:color w:val="auto"/>
          <w:sz w:val="22"/>
          <w:szCs w:val="22"/>
          <w:lang w:val="en-US"/>
        </w:rPr>
        <w:t xml:space="preserve"> (provided as an attached Excel file)</w:t>
      </w:r>
    </w:p>
    <w:p w14:paraId="7C3B539C" w14:textId="77777777" w:rsidR="00C03C56" w:rsidRDefault="00C03C56">
      <w:pPr>
        <w:spacing w:line="240" w:lineRule="auto"/>
        <w:jc w:val="both"/>
        <w:rPr>
          <w:rFonts w:ascii="Times New Roman" w:hAnsi="Times New Roman" w:cs="Times New Roman"/>
          <w:lang w:val="en-US"/>
        </w:rPr>
      </w:pPr>
    </w:p>
    <w:p w14:paraId="2F34B8C8" w14:textId="77777777" w:rsidR="006C5CA1" w:rsidRDefault="006C5CA1">
      <w:pPr>
        <w:spacing w:line="240" w:lineRule="auto"/>
        <w:jc w:val="both"/>
        <w:rPr>
          <w:rFonts w:ascii="Times New Roman" w:hAnsi="Times New Roman" w:cs="Times New Roman"/>
          <w:lang w:val="en-US"/>
        </w:rPr>
      </w:pPr>
    </w:p>
    <w:p w14:paraId="14A1AEB2" w14:textId="77777777" w:rsidR="006C5CA1" w:rsidRDefault="006C5CA1">
      <w:pPr>
        <w:spacing w:line="240" w:lineRule="auto"/>
        <w:jc w:val="both"/>
        <w:rPr>
          <w:rFonts w:ascii="Times New Roman" w:hAnsi="Times New Roman" w:cs="Times New Roman"/>
          <w:lang w:val="en-US"/>
        </w:rPr>
      </w:pPr>
    </w:p>
    <w:p w14:paraId="2094B8BB" w14:textId="1B4CACE1" w:rsidR="00F4673B" w:rsidRPr="007A0382" w:rsidRDefault="00015EB8" w:rsidP="007A0382">
      <w:pPr>
        <w:pStyle w:val="Titolo2"/>
        <w:rPr>
          <w:rFonts w:asciiTheme="minorHAnsi" w:hAnsiTheme="minorHAnsi" w:cs="Times New Roman"/>
          <w:b w:val="0"/>
          <w:color w:val="auto"/>
          <w:sz w:val="22"/>
          <w:szCs w:val="22"/>
          <w:lang w:val="en-US"/>
        </w:rPr>
      </w:pPr>
      <w:r w:rsidRPr="00F42B8C">
        <w:rPr>
          <w:rFonts w:asciiTheme="minorHAnsi" w:hAnsiTheme="minorHAnsi" w:cs="Times New Roman"/>
          <w:color w:val="auto"/>
          <w:sz w:val="22"/>
          <w:szCs w:val="22"/>
          <w:lang w:val="en-US"/>
        </w:rPr>
        <w:lastRenderedPageBreak/>
        <w:t xml:space="preserve">Table </w:t>
      </w:r>
      <w:r w:rsidR="00B65920" w:rsidRPr="00F42B8C">
        <w:rPr>
          <w:rFonts w:asciiTheme="minorHAnsi" w:hAnsiTheme="minorHAnsi" w:cs="Times New Roman"/>
          <w:color w:val="auto"/>
          <w:sz w:val="22"/>
          <w:szCs w:val="22"/>
          <w:lang w:val="en-US"/>
        </w:rPr>
        <w:t>S</w:t>
      </w:r>
      <w:r w:rsidR="00B723F9">
        <w:rPr>
          <w:rFonts w:asciiTheme="minorHAnsi" w:hAnsiTheme="minorHAnsi" w:cs="Times New Roman"/>
          <w:color w:val="auto"/>
          <w:sz w:val="22"/>
          <w:szCs w:val="22"/>
          <w:lang w:val="en-US"/>
        </w:rPr>
        <w:t>6</w:t>
      </w:r>
      <w:r w:rsidRPr="00F42B8C">
        <w:rPr>
          <w:rFonts w:asciiTheme="minorHAnsi" w:hAnsiTheme="minorHAnsi" w:cs="Times New Roman"/>
          <w:color w:val="auto"/>
          <w:sz w:val="22"/>
          <w:szCs w:val="22"/>
          <w:lang w:val="en-US"/>
        </w:rPr>
        <w:t>.</w:t>
      </w:r>
      <w:r w:rsidRPr="00F42B8C">
        <w:rPr>
          <w:rFonts w:asciiTheme="minorHAnsi" w:hAnsiTheme="minorHAnsi" w:cs="Times New Roman"/>
          <w:b w:val="0"/>
          <w:color w:val="auto"/>
          <w:sz w:val="22"/>
          <w:szCs w:val="22"/>
          <w:lang w:val="en-US"/>
        </w:rPr>
        <w:t xml:space="preserve"> Experimental Ames test studies ret</w:t>
      </w:r>
      <w:r w:rsidR="00F42B8C" w:rsidRPr="00F42B8C">
        <w:rPr>
          <w:rFonts w:asciiTheme="minorHAnsi" w:hAnsiTheme="minorHAnsi" w:cs="Times New Roman"/>
          <w:b w:val="0"/>
          <w:color w:val="auto"/>
          <w:sz w:val="22"/>
          <w:szCs w:val="22"/>
          <w:lang w:val="en-US"/>
        </w:rPr>
        <w:t>rieved for 13 aerosol compounds</w:t>
      </w:r>
      <w:r w:rsidR="00E043AC">
        <w:rPr>
          <w:rFonts w:asciiTheme="minorHAnsi" w:hAnsiTheme="minorHAnsi" w:cs="Times New Roman"/>
          <w:b w:val="0"/>
          <w:color w:val="auto"/>
          <w:sz w:val="22"/>
          <w:szCs w:val="22"/>
          <w:lang w:val="en-US"/>
        </w:rPr>
        <w:t xml:space="preserve"> (provided as an attached Excel file)</w:t>
      </w:r>
    </w:p>
    <w:p w14:paraId="447A355E" w14:textId="77777777" w:rsidR="007A0382" w:rsidRDefault="007A0382" w:rsidP="00F4673B">
      <w:pPr>
        <w:rPr>
          <w:lang w:val="en-US"/>
        </w:rPr>
      </w:pPr>
    </w:p>
    <w:p w14:paraId="19B79492" w14:textId="77777777" w:rsidR="006C5CA1" w:rsidRDefault="006C5CA1" w:rsidP="00F4673B">
      <w:pPr>
        <w:rPr>
          <w:lang w:val="en-US"/>
        </w:rPr>
      </w:pPr>
    </w:p>
    <w:p w14:paraId="32CB5778" w14:textId="77777777" w:rsidR="006C5CA1" w:rsidRDefault="006C5CA1" w:rsidP="00F4673B">
      <w:pPr>
        <w:rPr>
          <w:lang w:val="en-US"/>
        </w:rPr>
      </w:pPr>
    </w:p>
    <w:p w14:paraId="047F9097" w14:textId="7E10115B" w:rsidR="00F4673B" w:rsidRPr="004D016A" w:rsidRDefault="00F4673B" w:rsidP="00F4673B">
      <w:pPr>
        <w:pStyle w:val="Titolo2"/>
        <w:rPr>
          <w:rFonts w:asciiTheme="minorHAnsi" w:hAnsiTheme="minorHAnsi" w:cs="Times New Roman"/>
          <w:color w:val="auto"/>
          <w:sz w:val="22"/>
          <w:szCs w:val="22"/>
          <w:lang w:val="en-US"/>
        </w:rPr>
      </w:pPr>
      <w:r w:rsidRPr="004D016A">
        <w:rPr>
          <w:rFonts w:asciiTheme="minorHAnsi" w:hAnsiTheme="minorHAnsi" w:cs="Times New Roman"/>
          <w:color w:val="auto"/>
          <w:sz w:val="22"/>
          <w:szCs w:val="22"/>
          <w:lang w:val="en-US"/>
        </w:rPr>
        <w:t xml:space="preserve">Table </w:t>
      </w:r>
      <w:r w:rsidR="00B65920" w:rsidRPr="004D016A">
        <w:rPr>
          <w:rFonts w:asciiTheme="minorHAnsi" w:hAnsiTheme="minorHAnsi" w:cs="Times New Roman"/>
          <w:color w:val="auto"/>
          <w:sz w:val="22"/>
          <w:szCs w:val="22"/>
          <w:lang w:val="en-US"/>
        </w:rPr>
        <w:t>S</w:t>
      </w:r>
      <w:r w:rsidR="00B723F9">
        <w:rPr>
          <w:rFonts w:asciiTheme="minorHAnsi" w:hAnsiTheme="minorHAnsi" w:cs="Times New Roman"/>
          <w:color w:val="auto"/>
          <w:sz w:val="22"/>
          <w:szCs w:val="22"/>
          <w:lang w:val="en-US"/>
        </w:rPr>
        <w:t>7</w:t>
      </w:r>
      <w:r w:rsidRPr="004D016A">
        <w:rPr>
          <w:rFonts w:asciiTheme="minorHAnsi" w:hAnsiTheme="minorHAnsi" w:cs="Times New Roman"/>
          <w:color w:val="auto"/>
          <w:sz w:val="22"/>
          <w:szCs w:val="22"/>
          <w:lang w:val="en-US"/>
        </w:rPr>
        <w:t xml:space="preserve">. </w:t>
      </w:r>
      <w:r w:rsidRPr="004D016A">
        <w:rPr>
          <w:rFonts w:asciiTheme="minorHAnsi" w:hAnsiTheme="minorHAnsi" w:cs="Times New Roman"/>
          <w:b w:val="0"/>
          <w:color w:val="auto"/>
          <w:sz w:val="22"/>
          <w:szCs w:val="22"/>
          <w:lang w:val="en-US"/>
        </w:rPr>
        <w:t>QSAR predictions for Salmonella in vitro mutagenicity generated for 104 a</w:t>
      </w:r>
      <w:r w:rsidR="004D016A" w:rsidRPr="004D016A">
        <w:rPr>
          <w:rFonts w:asciiTheme="minorHAnsi" w:hAnsiTheme="minorHAnsi" w:cs="Times New Roman"/>
          <w:b w:val="0"/>
          <w:color w:val="auto"/>
          <w:sz w:val="22"/>
          <w:szCs w:val="22"/>
          <w:lang w:val="en-US"/>
        </w:rPr>
        <w:t>erosol compounds</w:t>
      </w:r>
      <w:r w:rsidR="00BB0A4C">
        <w:rPr>
          <w:rFonts w:asciiTheme="minorHAnsi" w:hAnsiTheme="minorHAnsi" w:cs="Times New Roman"/>
          <w:b w:val="0"/>
          <w:color w:val="auto"/>
          <w:sz w:val="22"/>
          <w:szCs w:val="22"/>
          <w:lang w:val="en-US"/>
        </w:rPr>
        <w:t xml:space="preserve"> (provided as an attached Excel file)</w:t>
      </w:r>
    </w:p>
    <w:p w14:paraId="2CDA9C3E" w14:textId="77777777" w:rsidR="00F4673B" w:rsidRDefault="00F4673B" w:rsidP="00F4673B">
      <w:pPr>
        <w:rPr>
          <w:lang w:val="en-US"/>
        </w:rPr>
      </w:pPr>
    </w:p>
    <w:p w14:paraId="3DE75370" w14:textId="77777777" w:rsidR="006C5CA1" w:rsidRDefault="006C5CA1" w:rsidP="00F4673B">
      <w:pPr>
        <w:rPr>
          <w:lang w:val="en-US"/>
        </w:rPr>
      </w:pPr>
    </w:p>
    <w:p w14:paraId="6E78B60B" w14:textId="77777777" w:rsidR="006C5CA1" w:rsidRDefault="006C5CA1" w:rsidP="00F4673B">
      <w:pPr>
        <w:rPr>
          <w:lang w:val="en-US"/>
        </w:rPr>
      </w:pPr>
    </w:p>
    <w:p w14:paraId="303A90E0" w14:textId="08A8C82D" w:rsidR="00F3302D" w:rsidRDefault="002B7C7C" w:rsidP="00E27422">
      <w:pPr>
        <w:pStyle w:val="Titolo2"/>
        <w:rPr>
          <w:rFonts w:asciiTheme="minorHAnsi" w:hAnsiTheme="minorHAnsi" w:cs="Times New Roman"/>
          <w:b w:val="0"/>
          <w:color w:val="auto"/>
          <w:sz w:val="22"/>
          <w:szCs w:val="22"/>
          <w:lang w:val="en-US"/>
        </w:rPr>
      </w:pPr>
      <w:r>
        <w:rPr>
          <w:rFonts w:asciiTheme="minorHAnsi" w:hAnsiTheme="minorHAnsi" w:cs="Times New Roman"/>
          <w:color w:val="auto"/>
          <w:sz w:val="22"/>
          <w:szCs w:val="22"/>
          <w:lang w:val="en-US"/>
        </w:rPr>
        <w:t>Table S8a</w:t>
      </w:r>
      <w:r w:rsidR="00F3302D" w:rsidRPr="00E27422">
        <w:rPr>
          <w:rFonts w:asciiTheme="minorHAnsi" w:hAnsiTheme="minorHAnsi" w:cs="Times New Roman"/>
          <w:color w:val="auto"/>
          <w:sz w:val="22"/>
          <w:szCs w:val="22"/>
          <w:lang w:val="en-US"/>
        </w:rPr>
        <w:t>.</w:t>
      </w:r>
      <w:r>
        <w:rPr>
          <w:rFonts w:asciiTheme="minorHAnsi" w:hAnsiTheme="minorHAnsi" w:cs="Times New Roman"/>
          <w:color w:val="auto"/>
          <w:sz w:val="22"/>
          <w:szCs w:val="22"/>
          <w:lang w:val="en-US"/>
        </w:rPr>
        <w:t xml:space="preserve"> </w:t>
      </w:r>
      <w:r>
        <w:rPr>
          <w:rFonts w:asciiTheme="minorHAnsi" w:hAnsiTheme="minorHAnsi" w:cs="Times New Roman"/>
          <w:b w:val="0"/>
          <w:color w:val="auto"/>
          <w:sz w:val="22"/>
          <w:szCs w:val="22"/>
          <w:lang w:val="en-US"/>
        </w:rPr>
        <w:t>Composition</w:t>
      </w:r>
      <w:r w:rsidRPr="002B7C7C">
        <w:rPr>
          <w:rFonts w:asciiTheme="minorHAnsi" w:hAnsiTheme="minorHAnsi" w:cs="Times New Roman"/>
          <w:b w:val="0"/>
          <w:color w:val="auto"/>
          <w:sz w:val="22"/>
          <w:szCs w:val="22"/>
          <w:lang w:val="en-US"/>
        </w:rPr>
        <w:t xml:space="preserve"> of the clusters</w:t>
      </w:r>
      <w:r>
        <w:rPr>
          <w:rFonts w:asciiTheme="minorHAnsi" w:hAnsiTheme="minorHAnsi" w:cs="Times New Roman"/>
          <w:b w:val="0"/>
          <w:color w:val="auto"/>
          <w:sz w:val="22"/>
          <w:szCs w:val="22"/>
          <w:lang w:val="en-US"/>
        </w:rPr>
        <w:t xml:space="preserve"> with summarized mechanisms of alert (MoA). An additional table (Table S8b) with the MoA specified for each compounds in the clusters is provided as an attached Excel file.</w:t>
      </w:r>
    </w:p>
    <w:tbl>
      <w:tblPr>
        <w:tblStyle w:val="Sfondochiaro"/>
        <w:tblW w:w="5000" w:type="pct"/>
        <w:tblLook w:val="0620" w:firstRow="1" w:lastRow="0" w:firstColumn="0" w:lastColumn="0" w:noHBand="1" w:noVBand="1"/>
      </w:tblPr>
      <w:tblGrid>
        <w:gridCol w:w="820"/>
        <w:gridCol w:w="2408"/>
        <w:gridCol w:w="568"/>
        <w:gridCol w:w="6058"/>
      </w:tblGrid>
      <w:tr w:rsidR="00CF688A" w:rsidRPr="002B7C7C" w14:paraId="6A5B2A1A" w14:textId="3B6AE963" w:rsidTr="00CF688A">
        <w:trPr>
          <w:cnfStyle w:val="100000000000" w:firstRow="1" w:lastRow="0" w:firstColumn="0" w:lastColumn="0" w:oddVBand="0" w:evenVBand="0" w:oddHBand="0" w:evenHBand="0" w:firstRowFirstColumn="0" w:firstRowLastColumn="0" w:lastRowFirstColumn="0" w:lastRowLastColumn="0"/>
          <w:trHeight w:val="363"/>
        </w:trPr>
        <w:tc>
          <w:tcPr>
            <w:tcW w:w="416" w:type="pct"/>
            <w:shd w:val="clear" w:color="auto" w:fill="A6A6A6" w:themeFill="background1" w:themeFillShade="A6"/>
            <w:hideMark/>
          </w:tcPr>
          <w:p w14:paraId="40DDB2C1" w14:textId="77777777" w:rsidR="00385F44" w:rsidRPr="002B7C7C" w:rsidRDefault="00385F44" w:rsidP="00385F44">
            <w:pPr>
              <w:jc w:val="center"/>
              <w:textAlignment w:val="bottom"/>
              <w:rPr>
                <w:rFonts w:ascii="Arial" w:eastAsia="Times New Roman" w:hAnsi="Arial" w:cs="Arial"/>
                <w:color w:val="auto"/>
                <w:sz w:val="36"/>
                <w:szCs w:val="36"/>
                <w:lang w:val="en-US" w:eastAsia="it-IT"/>
              </w:rPr>
            </w:pPr>
            <w:r w:rsidRPr="002B7C7C">
              <w:rPr>
                <w:rFonts w:ascii="Calibri" w:eastAsia="Times New Roman" w:hAnsi="Calibri" w:cs="Arial"/>
                <w:color w:val="auto"/>
                <w:kern w:val="24"/>
                <w:sz w:val="18"/>
                <w:szCs w:val="18"/>
                <w:lang w:val="en-US" w:eastAsia="it-IT"/>
              </w:rPr>
              <w:t>Cluster</w:t>
            </w:r>
          </w:p>
        </w:tc>
        <w:tc>
          <w:tcPr>
            <w:tcW w:w="1222" w:type="pct"/>
            <w:shd w:val="clear" w:color="auto" w:fill="A6A6A6" w:themeFill="background1" w:themeFillShade="A6"/>
            <w:hideMark/>
          </w:tcPr>
          <w:p w14:paraId="141F65EA" w14:textId="77777777" w:rsidR="00385F44" w:rsidRPr="002B7C7C" w:rsidRDefault="00385F44" w:rsidP="00385F44">
            <w:pPr>
              <w:textAlignment w:val="bottom"/>
              <w:rPr>
                <w:rFonts w:ascii="Arial" w:eastAsia="Times New Roman" w:hAnsi="Arial" w:cs="Arial"/>
                <w:color w:val="auto"/>
                <w:sz w:val="36"/>
                <w:szCs w:val="36"/>
                <w:lang w:val="en-US" w:eastAsia="it-IT"/>
              </w:rPr>
            </w:pPr>
            <w:r w:rsidRPr="002B7C7C">
              <w:rPr>
                <w:rFonts w:eastAsia="Times New Roman" w:hAnsi="Calibri" w:cs="Arial"/>
                <w:color w:val="auto"/>
                <w:kern w:val="24"/>
                <w:sz w:val="18"/>
                <w:szCs w:val="18"/>
                <w:lang w:val="en-US" w:eastAsia="it-IT"/>
              </w:rPr>
              <w:t>ID Compounds</w:t>
            </w:r>
          </w:p>
        </w:tc>
        <w:tc>
          <w:tcPr>
            <w:tcW w:w="288" w:type="pct"/>
            <w:shd w:val="clear" w:color="auto" w:fill="A6A6A6" w:themeFill="background1" w:themeFillShade="A6"/>
            <w:hideMark/>
          </w:tcPr>
          <w:p w14:paraId="139586A5" w14:textId="77777777" w:rsidR="00385F44" w:rsidRPr="002B7C7C" w:rsidRDefault="00385F44" w:rsidP="00385F44">
            <w:pPr>
              <w:jc w:val="center"/>
              <w:textAlignment w:val="bottom"/>
              <w:rPr>
                <w:rFonts w:ascii="Arial" w:eastAsia="Times New Roman" w:hAnsi="Arial" w:cs="Arial"/>
                <w:color w:val="auto"/>
                <w:sz w:val="36"/>
                <w:szCs w:val="36"/>
                <w:lang w:val="en-US" w:eastAsia="it-IT"/>
              </w:rPr>
            </w:pPr>
            <w:r w:rsidRPr="002B7C7C">
              <w:rPr>
                <w:rFonts w:ascii="Calibri" w:eastAsia="Times New Roman" w:hAnsi="Calibri" w:cs="Arial"/>
                <w:color w:val="auto"/>
                <w:kern w:val="24"/>
                <w:sz w:val="18"/>
                <w:szCs w:val="18"/>
                <w:lang w:val="en-US" w:eastAsia="it-IT"/>
              </w:rPr>
              <w:t>N</w:t>
            </w:r>
          </w:p>
        </w:tc>
        <w:tc>
          <w:tcPr>
            <w:tcW w:w="3075" w:type="pct"/>
            <w:shd w:val="clear" w:color="auto" w:fill="A6A6A6" w:themeFill="background1" w:themeFillShade="A6"/>
          </w:tcPr>
          <w:p w14:paraId="0F88618C" w14:textId="4F7EB99B" w:rsidR="00385F44" w:rsidRPr="002B7C7C" w:rsidRDefault="00385F44" w:rsidP="00CF688A">
            <w:pPr>
              <w:textAlignment w:val="bottom"/>
              <w:rPr>
                <w:rFonts w:ascii="Calibri" w:eastAsia="Times New Roman" w:hAnsi="Calibri" w:cs="Arial"/>
                <w:bCs w:val="0"/>
                <w:kern w:val="24"/>
                <w:sz w:val="18"/>
                <w:szCs w:val="18"/>
                <w:lang w:val="en-US" w:eastAsia="it-IT"/>
              </w:rPr>
            </w:pPr>
            <w:r w:rsidRPr="002B7C7C">
              <w:rPr>
                <w:rFonts w:ascii="Calibri" w:eastAsia="Times New Roman" w:hAnsi="Calibri" w:cs="Arial"/>
                <w:bCs w:val="0"/>
                <w:kern w:val="24"/>
                <w:sz w:val="18"/>
                <w:szCs w:val="18"/>
                <w:lang w:val="en-US" w:eastAsia="it-IT"/>
              </w:rPr>
              <w:t>Cluster assessment</w:t>
            </w:r>
          </w:p>
        </w:tc>
      </w:tr>
      <w:tr w:rsidR="00CF688A" w:rsidRPr="007C7619" w14:paraId="5AC2A260" w14:textId="7E12DE85" w:rsidTr="00CF688A">
        <w:trPr>
          <w:trHeight w:val="363"/>
        </w:trPr>
        <w:tc>
          <w:tcPr>
            <w:tcW w:w="416" w:type="pct"/>
            <w:hideMark/>
          </w:tcPr>
          <w:p w14:paraId="466B1032" w14:textId="77777777" w:rsidR="00385F44" w:rsidRPr="002B7C7C" w:rsidRDefault="00385F44" w:rsidP="00385F44">
            <w:pPr>
              <w:jc w:val="center"/>
              <w:textAlignment w:val="center"/>
              <w:rPr>
                <w:rFonts w:ascii="Arial" w:eastAsia="Times New Roman" w:hAnsi="Arial" w:cs="Arial"/>
                <w:sz w:val="36"/>
                <w:szCs w:val="36"/>
                <w:lang w:val="en-US" w:eastAsia="it-IT"/>
              </w:rPr>
            </w:pPr>
            <w:r w:rsidRPr="002B7C7C">
              <w:rPr>
                <w:rFonts w:ascii="Calibri" w:eastAsia="Times New Roman" w:hAnsi="Calibri" w:cs="Arial"/>
                <w:color w:val="000000" w:themeColor="dark1"/>
                <w:kern w:val="24"/>
                <w:sz w:val="18"/>
                <w:szCs w:val="18"/>
                <w:lang w:val="en-US" w:eastAsia="it-IT"/>
              </w:rPr>
              <w:t>0</w:t>
            </w:r>
          </w:p>
        </w:tc>
        <w:tc>
          <w:tcPr>
            <w:tcW w:w="1222" w:type="pct"/>
            <w:hideMark/>
          </w:tcPr>
          <w:p w14:paraId="14592575" w14:textId="5EF51823" w:rsidR="00385F44" w:rsidRPr="002B7C7C" w:rsidRDefault="00385F44" w:rsidP="00385F44">
            <w:pPr>
              <w:textAlignment w:val="center"/>
              <w:rPr>
                <w:rFonts w:ascii="Arial" w:eastAsia="Times New Roman" w:hAnsi="Arial" w:cs="Arial"/>
                <w:sz w:val="36"/>
                <w:szCs w:val="36"/>
                <w:lang w:val="en-US" w:eastAsia="it-IT"/>
              </w:rPr>
            </w:pPr>
            <w:r w:rsidRPr="002B7C7C">
              <w:rPr>
                <w:rFonts w:ascii="Calibri" w:eastAsia="Times New Roman" w:hAnsi="Calibri" w:cs="Arial"/>
                <w:color w:val="000000" w:themeColor="dark1"/>
                <w:kern w:val="24"/>
                <w:sz w:val="18"/>
                <w:szCs w:val="18"/>
                <w:lang w:val="en-US" w:eastAsia="it-IT"/>
              </w:rPr>
              <w:t>mtr_10</w:t>
            </w:r>
            <w:r w:rsidR="00CA627E" w:rsidRPr="002B7C7C">
              <w:rPr>
                <w:rFonts w:ascii="Calibri" w:eastAsia="Times New Roman" w:hAnsi="Calibri" w:cs="Arial"/>
                <w:color w:val="000000" w:themeColor="dark1"/>
                <w:kern w:val="24"/>
                <w:sz w:val="18"/>
                <w:szCs w:val="18"/>
                <w:lang w:val="en-US" w:eastAsia="it-IT"/>
              </w:rPr>
              <w:t>*</w:t>
            </w:r>
            <w:r w:rsidRPr="002B7C7C">
              <w:rPr>
                <w:rFonts w:ascii="Calibri" w:eastAsia="Times New Roman" w:hAnsi="Calibri" w:cs="Arial"/>
                <w:color w:val="000000" w:themeColor="dark1"/>
                <w:kern w:val="24"/>
                <w:sz w:val="18"/>
                <w:szCs w:val="18"/>
                <w:lang w:val="en-US" w:eastAsia="it-IT"/>
              </w:rPr>
              <w:t>, mtr_11, mtr_12</w:t>
            </w:r>
          </w:p>
        </w:tc>
        <w:tc>
          <w:tcPr>
            <w:tcW w:w="288" w:type="pct"/>
            <w:hideMark/>
          </w:tcPr>
          <w:p w14:paraId="3AFEC46F" w14:textId="77777777" w:rsidR="00385F44" w:rsidRPr="002B7C7C" w:rsidRDefault="00385F44" w:rsidP="00385F44">
            <w:pPr>
              <w:jc w:val="center"/>
              <w:textAlignment w:val="center"/>
              <w:rPr>
                <w:rFonts w:ascii="Arial" w:eastAsia="Times New Roman" w:hAnsi="Arial" w:cs="Arial"/>
                <w:sz w:val="36"/>
                <w:szCs w:val="36"/>
                <w:lang w:val="en-US" w:eastAsia="it-IT"/>
              </w:rPr>
            </w:pPr>
            <w:r w:rsidRPr="002B7C7C">
              <w:rPr>
                <w:rFonts w:ascii="Calibri" w:eastAsia="Times New Roman" w:hAnsi="Calibri" w:cs="Arial"/>
                <w:color w:val="000000" w:themeColor="dark1"/>
                <w:kern w:val="24"/>
                <w:sz w:val="18"/>
                <w:szCs w:val="18"/>
                <w:lang w:val="en-US" w:eastAsia="it-IT"/>
              </w:rPr>
              <w:t>3</w:t>
            </w:r>
          </w:p>
        </w:tc>
        <w:tc>
          <w:tcPr>
            <w:tcW w:w="3075" w:type="pct"/>
          </w:tcPr>
          <w:p w14:paraId="682E8DBE" w14:textId="77777777" w:rsidR="00385F44" w:rsidRPr="00CF688A" w:rsidRDefault="00385F44" w:rsidP="00CF688A">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F688A">
              <w:rPr>
                <w:rFonts w:eastAsia="Times New Roman" w:cs="Arial"/>
                <w:color w:val="000000" w:themeColor="dark1"/>
                <w:kern w:val="24"/>
                <w:sz w:val="18"/>
                <w:szCs w:val="18"/>
                <w:lang w:val="en-US" w:eastAsia="it-IT"/>
              </w:rPr>
              <w:t>Same SOA class: Monoterpene</w:t>
            </w:r>
          </w:p>
          <w:p w14:paraId="5D00B05A" w14:textId="6E1516CA" w:rsidR="00385F44" w:rsidRPr="00CF688A" w:rsidRDefault="00385F44" w:rsidP="00CF688A">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F688A">
              <w:rPr>
                <w:rFonts w:eastAsia="Times New Roman" w:cs="Arial"/>
                <w:color w:val="000000" w:themeColor="dark1"/>
                <w:kern w:val="24"/>
                <w:sz w:val="18"/>
                <w:szCs w:val="18"/>
                <w:lang w:val="en-US" w:eastAsia="it-IT"/>
              </w:rPr>
              <w:t>Same MoA</w:t>
            </w:r>
            <w:r w:rsidR="00CF688A" w:rsidRPr="00CF688A">
              <w:rPr>
                <w:rFonts w:eastAsia="Times New Roman" w:cs="Arial"/>
                <w:color w:val="000000" w:themeColor="dark1"/>
                <w:kern w:val="24"/>
                <w:sz w:val="18"/>
                <w:szCs w:val="18"/>
                <w:lang w:val="en-US" w:eastAsia="it-IT"/>
              </w:rPr>
              <w:t>s for genotoxicity</w:t>
            </w:r>
          </w:p>
          <w:p w14:paraId="355AF726" w14:textId="45530430" w:rsidR="00385F44" w:rsidRPr="00CF688A" w:rsidRDefault="00385F44" w:rsidP="00CF688A">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F688A">
              <w:rPr>
                <w:rFonts w:eastAsia="Times New Roman" w:cs="Arial"/>
                <w:color w:val="000000" w:themeColor="dark1"/>
                <w:kern w:val="24"/>
                <w:sz w:val="18"/>
                <w:szCs w:val="18"/>
                <w:lang w:val="en-US" w:eastAsia="it-IT"/>
              </w:rPr>
              <w:t>Same alerts: Four- and Five-Membered Lactones, H-acceptor-path3-H-acceptor, Oxolane</w:t>
            </w:r>
          </w:p>
          <w:p w14:paraId="1CD48BCB" w14:textId="77777777" w:rsidR="00385F44" w:rsidRPr="00CF688A" w:rsidRDefault="00385F44" w:rsidP="00CF688A">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CF688A">
              <w:rPr>
                <w:rFonts w:eastAsia="Times New Roman" w:cs="Arial"/>
                <w:color w:val="000000" w:themeColor="dark1"/>
                <w:kern w:val="24"/>
                <w:sz w:val="18"/>
                <w:szCs w:val="18"/>
                <w:lang w:eastAsia="it-IT"/>
              </w:rPr>
              <w:t>Reliable predictions: 2 positive; 1 negative</w:t>
            </w:r>
          </w:p>
          <w:p w14:paraId="5D7E6297" w14:textId="00A46F04" w:rsidR="00385F44" w:rsidRDefault="005C0E4C" w:rsidP="00CF688A">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C0E4C">
              <w:rPr>
                <w:rFonts w:eastAsia="Times New Roman" w:cs="Arial"/>
                <w:color w:val="000000" w:themeColor="dark1"/>
                <w:kern w:val="24"/>
                <w:sz w:val="18"/>
                <w:szCs w:val="18"/>
                <w:lang w:val="en-US" w:eastAsia="it-IT"/>
              </w:rPr>
              <w:t>R</w:t>
            </w:r>
            <w:r w:rsidR="00FD4260">
              <w:rPr>
                <w:rFonts w:eastAsia="Times New Roman" w:cs="Arial"/>
                <w:color w:val="000000" w:themeColor="dark1"/>
                <w:kern w:val="24"/>
                <w:sz w:val="18"/>
                <w:szCs w:val="18"/>
                <w:lang w:val="en-US" w:eastAsia="it-IT"/>
              </w:rPr>
              <w:t>emarks</w:t>
            </w:r>
            <w:r>
              <w:rPr>
                <w:rFonts w:eastAsia="Times New Roman" w:cs="Arial"/>
                <w:color w:val="000000" w:themeColor="dark1"/>
                <w:kern w:val="24"/>
                <w:sz w:val="18"/>
                <w:szCs w:val="18"/>
                <w:lang w:val="en-US" w:eastAsia="it-IT"/>
              </w:rPr>
              <w:t>/Implications</w:t>
            </w:r>
            <w:r w:rsidR="00FD4260">
              <w:rPr>
                <w:rFonts w:eastAsia="Times New Roman" w:cs="Arial"/>
                <w:color w:val="000000" w:themeColor="dark1"/>
                <w:kern w:val="24"/>
                <w:sz w:val="18"/>
                <w:szCs w:val="18"/>
                <w:lang w:val="en-US" w:eastAsia="it-IT"/>
              </w:rPr>
              <w:t>:</w:t>
            </w:r>
            <w:r w:rsidR="00385F44" w:rsidRPr="00CF688A">
              <w:rPr>
                <w:rFonts w:eastAsia="Times New Roman" w:cs="Arial"/>
                <w:color w:val="000000" w:themeColor="dark1"/>
                <w:kern w:val="24"/>
                <w:sz w:val="18"/>
                <w:szCs w:val="18"/>
                <w:lang w:val="en-US" w:eastAsia="it-IT"/>
              </w:rPr>
              <w:t xml:space="preserve"> </w:t>
            </w:r>
            <w:r w:rsidR="00CF688A" w:rsidRPr="00CF688A">
              <w:rPr>
                <w:rFonts w:eastAsia="Times New Roman" w:cs="Arial"/>
                <w:color w:val="000000" w:themeColor="dark1"/>
                <w:kern w:val="24"/>
                <w:sz w:val="18"/>
                <w:szCs w:val="18"/>
                <w:lang w:val="en-US" w:eastAsia="it-IT"/>
              </w:rPr>
              <w:t xml:space="preserve">Further confirmation needed </w:t>
            </w:r>
            <w:r w:rsidR="00794C45">
              <w:rPr>
                <w:rFonts w:eastAsia="Times New Roman" w:cs="Arial"/>
                <w:color w:val="000000" w:themeColor="dark1"/>
                <w:kern w:val="24"/>
                <w:sz w:val="18"/>
                <w:szCs w:val="18"/>
                <w:lang w:val="en-US" w:eastAsia="it-IT"/>
              </w:rPr>
              <w:t>for mtr_</w:t>
            </w:r>
            <w:r w:rsidR="00CF688A" w:rsidRPr="00CF688A">
              <w:rPr>
                <w:rFonts w:eastAsia="Times New Roman" w:cs="Arial"/>
                <w:color w:val="000000" w:themeColor="dark1"/>
                <w:kern w:val="24"/>
                <w:sz w:val="18"/>
                <w:szCs w:val="18"/>
                <w:lang w:val="en-US" w:eastAsia="it-IT"/>
              </w:rPr>
              <w:t>10</w:t>
            </w:r>
            <w:r w:rsidR="00CA627E">
              <w:rPr>
                <w:rFonts w:eastAsia="Times New Roman" w:cs="Arial"/>
                <w:color w:val="000000" w:themeColor="dark1"/>
                <w:kern w:val="24"/>
                <w:sz w:val="18"/>
                <w:szCs w:val="18"/>
                <w:lang w:val="en-US" w:eastAsia="it-IT"/>
              </w:rPr>
              <w:t>(*)</w:t>
            </w:r>
            <w:r w:rsidR="00CF688A" w:rsidRPr="00CF688A">
              <w:rPr>
                <w:rFonts w:eastAsia="Times New Roman" w:cs="Arial"/>
                <w:color w:val="000000" w:themeColor="dark1"/>
                <w:kern w:val="24"/>
                <w:sz w:val="18"/>
                <w:szCs w:val="18"/>
                <w:lang w:val="en-US" w:eastAsia="it-IT"/>
              </w:rPr>
              <w:t xml:space="preserve"> negative prediction (e.g., integrate with other </w:t>
            </w:r>
            <w:r w:rsidR="00CF688A" w:rsidRPr="00CF688A">
              <w:rPr>
                <w:rFonts w:eastAsia="Times New Roman" w:cs="Arial"/>
                <w:i/>
                <w:color w:val="000000" w:themeColor="dark1"/>
                <w:kern w:val="24"/>
                <w:sz w:val="18"/>
                <w:szCs w:val="18"/>
                <w:lang w:val="en-US" w:eastAsia="it-IT"/>
              </w:rPr>
              <w:t>in silico</w:t>
            </w:r>
            <w:r w:rsidR="00CF688A" w:rsidRPr="00CF688A">
              <w:rPr>
                <w:rFonts w:eastAsia="Times New Roman" w:cs="Arial"/>
                <w:color w:val="000000" w:themeColor="dark1"/>
                <w:kern w:val="24"/>
                <w:sz w:val="18"/>
                <w:szCs w:val="18"/>
                <w:lang w:val="en-US" w:eastAsia="it-IT"/>
              </w:rPr>
              <w:t xml:space="preserve"> predictors)</w:t>
            </w:r>
          </w:p>
          <w:p w14:paraId="34EF8A08" w14:textId="109A01A2" w:rsidR="00BD29B6" w:rsidRPr="00CF688A" w:rsidRDefault="00BD29B6" w:rsidP="00BD29B6">
            <w:pPr>
              <w:pStyle w:val="Paragrafoelenco"/>
              <w:ind w:left="177"/>
              <w:textAlignment w:val="center"/>
              <w:rPr>
                <w:rFonts w:eastAsia="Times New Roman" w:cs="Arial"/>
                <w:color w:val="000000" w:themeColor="dark1"/>
                <w:kern w:val="24"/>
                <w:sz w:val="18"/>
                <w:szCs w:val="18"/>
                <w:lang w:val="en-US" w:eastAsia="it-IT"/>
              </w:rPr>
            </w:pPr>
          </w:p>
        </w:tc>
      </w:tr>
      <w:tr w:rsidR="00CF688A" w:rsidRPr="007C7619" w14:paraId="54CF1AF6" w14:textId="648F162B" w:rsidTr="00CF688A">
        <w:trPr>
          <w:trHeight w:val="363"/>
        </w:trPr>
        <w:tc>
          <w:tcPr>
            <w:tcW w:w="416" w:type="pct"/>
            <w:hideMark/>
          </w:tcPr>
          <w:p w14:paraId="77DC24B9"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eastAsia="Times New Roman" w:hAnsi="Calibri" w:cs="Arial"/>
                <w:color w:val="000000" w:themeColor="dark1"/>
                <w:kern w:val="24"/>
                <w:sz w:val="18"/>
                <w:szCs w:val="18"/>
                <w:lang w:eastAsia="it-IT"/>
              </w:rPr>
              <w:t>1</w:t>
            </w:r>
          </w:p>
        </w:tc>
        <w:tc>
          <w:tcPr>
            <w:tcW w:w="1222" w:type="pct"/>
            <w:hideMark/>
          </w:tcPr>
          <w:p w14:paraId="5379C3F8" w14:textId="7BABCD67" w:rsidR="00385F44" w:rsidRPr="00385F44" w:rsidRDefault="00385F44" w:rsidP="00385F44">
            <w:pP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lmp_02, lmp_09, lmp_17</w:t>
            </w:r>
            <w:r w:rsidR="00CA627E">
              <w:rPr>
                <w:rFonts w:ascii="Calibri" w:eastAsia="Times New Roman" w:hAnsi="Calibri" w:cs="Arial"/>
                <w:color w:val="000000" w:themeColor="dark1"/>
                <w:kern w:val="24"/>
                <w:sz w:val="18"/>
                <w:szCs w:val="18"/>
                <w:lang w:eastAsia="it-IT"/>
              </w:rPr>
              <w:t>*</w:t>
            </w:r>
          </w:p>
        </w:tc>
        <w:tc>
          <w:tcPr>
            <w:tcW w:w="288" w:type="pct"/>
            <w:hideMark/>
          </w:tcPr>
          <w:p w14:paraId="015FD731"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3</w:t>
            </w:r>
          </w:p>
        </w:tc>
        <w:tc>
          <w:tcPr>
            <w:tcW w:w="3075" w:type="pct"/>
          </w:tcPr>
          <w:p w14:paraId="3C6CFBFA" w14:textId="77777777" w:rsidR="00BD29B6" w:rsidRPr="00BD29B6" w:rsidRDefault="00BD29B6" w:rsidP="00BD29B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D29B6">
              <w:rPr>
                <w:rFonts w:eastAsia="Times New Roman" w:cs="Arial"/>
                <w:color w:val="000000" w:themeColor="dark1"/>
                <w:kern w:val="24"/>
                <w:sz w:val="18"/>
                <w:szCs w:val="18"/>
                <w:lang w:val="en-US" w:eastAsia="it-IT"/>
              </w:rPr>
              <w:t>Same SOA class: low MW PAH</w:t>
            </w:r>
          </w:p>
          <w:p w14:paraId="3C0B7120" w14:textId="44201F45" w:rsidR="00BD29B6" w:rsidRPr="00BD29B6" w:rsidRDefault="00BD29B6" w:rsidP="00BD29B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D29B6">
              <w:rPr>
                <w:rFonts w:eastAsia="Times New Roman" w:cs="Arial"/>
                <w:color w:val="000000" w:themeColor="dark1"/>
                <w:kern w:val="24"/>
                <w:sz w:val="18"/>
                <w:szCs w:val="18"/>
                <w:lang w:val="en-US" w:eastAsia="it-IT"/>
              </w:rPr>
              <w:t>Same MoAs</w:t>
            </w:r>
            <w:r w:rsidRPr="00CF688A">
              <w:rPr>
                <w:rFonts w:eastAsia="Times New Roman" w:cs="Arial"/>
                <w:color w:val="000000" w:themeColor="dark1"/>
                <w:kern w:val="24"/>
                <w:sz w:val="18"/>
                <w:szCs w:val="18"/>
                <w:lang w:val="en-US" w:eastAsia="it-IT"/>
              </w:rPr>
              <w:t xml:space="preserve"> for genotoxicity</w:t>
            </w:r>
          </w:p>
          <w:p w14:paraId="72D64EC6" w14:textId="77406E5E" w:rsidR="00BD29B6" w:rsidRPr="00BD29B6" w:rsidRDefault="00BD29B6" w:rsidP="00BD29B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D29B6">
              <w:rPr>
                <w:rFonts w:eastAsia="Times New Roman" w:cs="Arial"/>
                <w:color w:val="000000" w:themeColor="dark1"/>
                <w:kern w:val="24"/>
                <w:sz w:val="18"/>
                <w:szCs w:val="18"/>
                <w:lang w:val="en-US" w:eastAsia="it-IT"/>
              </w:rPr>
              <w:t>Same alerts:</w:t>
            </w:r>
            <w:r>
              <w:rPr>
                <w:rFonts w:eastAsia="Times New Roman" w:cs="Arial"/>
                <w:color w:val="000000" w:themeColor="dark1"/>
                <w:kern w:val="24"/>
                <w:sz w:val="18"/>
                <w:szCs w:val="18"/>
                <w:lang w:val="en-US" w:eastAsia="it-IT"/>
              </w:rPr>
              <w:t xml:space="preserve"> </w:t>
            </w:r>
            <w:r w:rsidRPr="00BD29B6">
              <w:rPr>
                <w:rFonts w:eastAsia="Times New Roman" w:cs="Arial"/>
                <w:color w:val="000000" w:themeColor="dark1"/>
                <w:kern w:val="24"/>
                <w:sz w:val="18"/>
                <w:szCs w:val="18"/>
                <w:lang w:val="en-US" w:eastAsia="it-IT"/>
              </w:rPr>
              <w:t>Quinones, H-acceptor-path3-H-acceptor, Alpha, beta- unsaturated ketones</w:t>
            </w:r>
          </w:p>
          <w:p w14:paraId="2298FA91" w14:textId="77777777" w:rsidR="00BD29B6" w:rsidRPr="00BD29B6" w:rsidRDefault="00BD29B6" w:rsidP="00BD29B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D29B6">
              <w:rPr>
                <w:rFonts w:eastAsia="Times New Roman" w:cs="Arial"/>
                <w:color w:val="000000" w:themeColor="dark1"/>
                <w:kern w:val="24"/>
                <w:sz w:val="18"/>
                <w:szCs w:val="18"/>
                <w:lang w:val="en-US" w:eastAsia="it-IT"/>
              </w:rPr>
              <w:t>All positive genotoxicity predictions</w:t>
            </w:r>
          </w:p>
          <w:p w14:paraId="7DD707B4" w14:textId="77777777" w:rsidR="00385F44" w:rsidRDefault="00BD29B6" w:rsidP="00BD29B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D29B6">
              <w:rPr>
                <w:rFonts w:eastAsia="Times New Roman" w:cs="Arial"/>
                <w:color w:val="000000" w:themeColor="dark1"/>
                <w:kern w:val="24"/>
                <w:sz w:val="18"/>
                <w:szCs w:val="18"/>
                <w:lang w:val="en-US" w:eastAsia="it-IT"/>
              </w:rPr>
              <w:t>Positive experimental data available for 1 cluster member (Imp 02)</w:t>
            </w:r>
          </w:p>
          <w:p w14:paraId="25AF7243" w14:textId="672B16E4" w:rsidR="00BD29B6" w:rsidRDefault="005C0E4C" w:rsidP="00BD29B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C0E4C">
              <w:rPr>
                <w:rFonts w:eastAsia="Times New Roman" w:cs="Arial"/>
                <w:color w:val="000000" w:themeColor="dark1"/>
                <w:kern w:val="24"/>
                <w:sz w:val="18"/>
                <w:szCs w:val="18"/>
                <w:lang w:val="en-US" w:eastAsia="it-IT"/>
              </w:rPr>
              <w:t>R</w:t>
            </w:r>
            <w:r>
              <w:rPr>
                <w:rFonts w:eastAsia="Times New Roman" w:cs="Arial"/>
                <w:color w:val="000000" w:themeColor="dark1"/>
                <w:kern w:val="24"/>
                <w:sz w:val="18"/>
                <w:szCs w:val="18"/>
                <w:lang w:val="en-US" w:eastAsia="it-IT"/>
              </w:rPr>
              <w:t>emarks/Implications</w:t>
            </w:r>
            <w:r w:rsidR="00BD29B6">
              <w:rPr>
                <w:rFonts w:eastAsia="Times New Roman" w:cs="Arial"/>
                <w:color w:val="000000" w:themeColor="dark1"/>
                <w:kern w:val="24"/>
                <w:sz w:val="18"/>
                <w:szCs w:val="18"/>
                <w:lang w:val="en-US" w:eastAsia="it-IT"/>
              </w:rPr>
              <w:t>: Cluster information increases the confidence of the b</w:t>
            </w:r>
            <w:r w:rsidR="00BD29B6" w:rsidRPr="00BD29B6">
              <w:rPr>
                <w:rFonts w:eastAsia="Times New Roman" w:cs="Arial"/>
                <w:color w:val="000000" w:themeColor="dark1"/>
                <w:kern w:val="24"/>
                <w:sz w:val="18"/>
                <w:szCs w:val="18"/>
                <w:lang w:val="en-US" w:eastAsia="it-IT"/>
              </w:rPr>
              <w:t xml:space="preserve">ordeline </w:t>
            </w:r>
            <w:r w:rsidR="00BD29B6">
              <w:rPr>
                <w:rFonts w:eastAsia="Times New Roman" w:cs="Arial"/>
                <w:color w:val="000000" w:themeColor="dark1"/>
                <w:kern w:val="24"/>
                <w:sz w:val="18"/>
                <w:szCs w:val="18"/>
                <w:lang w:val="en-US" w:eastAsia="it-IT"/>
              </w:rPr>
              <w:t xml:space="preserve">reliable </w:t>
            </w:r>
            <w:r w:rsidR="00BD29B6" w:rsidRPr="00BD29B6">
              <w:rPr>
                <w:rFonts w:eastAsia="Times New Roman" w:cs="Arial"/>
                <w:color w:val="000000" w:themeColor="dark1"/>
                <w:kern w:val="24"/>
                <w:sz w:val="18"/>
                <w:szCs w:val="18"/>
                <w:lang w:val="en-US" w:eastAsia="it-IT"/>
              </w:rPr>
              <w:t xml:space="preserve">prediction </w:t>
            </w:r>
            <w:r w:rsidR="00BD29B6">
              <w:rPr>
                <w:rFonts w:eastAsia="Times New Roman" w:cs="Arial"/>
                <w:color w:val="000000" w:themeColor="dark1"/>
                <w:kern w:val="24"/>
                <w:sz w:val="18"/>
                <w:szCs w:val="18"/>
                <w:lang w:val="en-US" w:eastAsia="it-IT"/>
              </w:rPr>
              <w:t>of lmp_17</w:t>
            </w:r>
            <w:r w:rsidR="00223497">
              <w:rPr>
                <w:rFonts w:eastAsia="Times New Roman" w:cs="Arial"/>
                <w:color w:val="000000" w:themeColor="dark1"/>
                <w:kern w:val="24"/>
                <w:sz w:val="18"/>
                <w:szCs w:val="18"/>
                <w:lang w:val="en-US" w:eastAsia="it-IT"/>
              </w:rPr>
              <w:t>(*)</w:t>
            </w:r>
          </w:p>
          <w:p w14:paraId="6052517A" w14:textId="49BAFE02" w:rsidR="00BD29B6" w:rsidRPr="00BD29B6" w:rsidRDefault="00BD29B6" w:rsidP="00BD29B6">
            <w:pPr>
              <w:pStyle w:val="Paragrafoelenco"/>
              <w:ind w:left="177"/>
              <w:textAlignment w:val="center"/>
              <w:rPr>
                <w:rFonts w:eastAsia="Times New Roman" w:cs="Arial"/>
                <w:color w:val="000000" w:themeColor="dark1"/>
                <w:kern w:val="24"/>
                <w:sz w:val="18"/>
                <w:szCs w:val="18"/>
                <w:lang w:val="en-US" w:eastAsia="it-IT"/>
              </w:rPr>
            </w:pPr>
          </w:p>
        </w:tc>
      </w:tr>
      <w:tr w:rsidR="00CF688A" w:rsidRPr="007C7619" w14:paraId="496F6037" w14:textId="510C97B3" w:rsidTr="00CF688A">
        <w:trPr>
          <w:trHeight w:val="363"/>
        </w:trPr>
        <w:tc>
          <w:tcPr>
            <w:tcW w:w="416" w:type="pct"/>
            <w:hideMark/>
          </w:tcPr>
          <w:p w14:paraId="284A36FF"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eastAsia="Times New Roman" w:hAnsi="Calibri" w:cs="Arial"/>
                <w:color w:val="000000" w:themeColor="dark1"/>
                <w:kern w:val="24"/>
                <w:sz w:val="18"/>
                <w:szCs w:val="18"/>
                <w:lang w:eastAsia="it-IT"/>
              </w:rPr>
              <w:t>2</w:t>
            </w:r>
          </w:p>
        </w:tc>
        <w:tc>
          <w:tcPr>
            <w:tcW w:w="1222" w:type="pct"/>
            <w:hideMark/>
          </w:tcPr>
          <w:p w14:paraId="422C9B98" w14:textId="77777777" w:rsidR="00385F44" w:rsidRPr="00385F44" w:rsidRDefault="00385F44" w:rsidP="00385F44">
            <w:pP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val="pt-BR" w:eastAsia="it-IT"/>
              </w:rPr>
              <w:t>ara_01, ara_02, ara_03, ara_04, ara_05</w:t>
            </w:r>
          </w:p>
        </w:tc>
        <w:tc>
          <w:tcPr>
            <w:tcW w:w="288" w:type="pct"/>
            <w:hideMark/>
          </w:tcPr>
          <w:p w14:paraId="4459F095"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5</w:t>
            </w:r>
          </w:p>
        </w:tc>
        <w:tc>
          <w:tcPr>
            <w:tcW w:w="3075" w:type="pct"/>
          </w:tcPr>
          <w:p w14:paraId="102B9C90" w14:textId="77777777" w:rsidR="00097148" w:rsidRPr="00097148" w:rsidRDefault="00097148" w:rsidP="00FD4260">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97148">
              <w:rPr>
                <w:rFonts w:eastAsia="Times New Roman" w:cs="Arial"/>
                <w:color w:val="000000" w:themeColor="dark1"/>
                <w:kern w:val="24"/>
                <w:sz w:val="18"/>
                <w:szCs w:val="18"/>
                <w:lang w:val="en-US" w:eastAsia="it-IT"/>
              </w:rPr>
              <w:t>Same SOA class: aromatic amine</w:t>
            </w:r>
          </w:p>
          <w:p w14:paraId="7421EFF7" w14:textId="17355A3F" w:rsidR="00097148" w:rsidRPr="00097148" w:rsidRDefault="00097148" w:rsidP="00FD4260">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97148">
              <w:rPr>
                <w:rFonts w:eastAsia="Times New Roman" w:cs="Arial"/>
                <w:color w:val="000000" w:themeColor="dark1"/>
                <w:kern w:val="24"/>
                <w:sz w:val="18"/>
                <w:szCs w:val="18"/>
                <w:lang w:val="en-US" w:eastAsia="it-IT"/>
              </w:rPr>
              <w:t>Same MoAs</w:t>
            </w:r>
            <w:r>
              <w:rPr>
                <w:rFonts w:eastAsia="Times New Roman" w:cs="Arial"/>
                <w:color w:val="000000" w:themeColor="dark1"/>
                <w:kern w:val="24"/>
                <w:sz w:val="18"/>
                <w:szCs w:val="18"/>
                <w:lang w:val="en-US" w:eastAsia="it-IT"/>
              </w:rPr>
              <w:t xml:space="preserve"> </w:t>
            </w:r>
            <w:r w:rsidRPr="00CF688A">
              <w:rPr>
                <w:rFonts w:eastAsia="Times New Roman" w:cs="Arial"/>
                <w:color w:val="000000" w:themeColor="dark1"/>
                <w:kern w:val="24"/>
                <w:sz w:val="18"/>
                <w:szCs w:val="18"/>
                <w:lang w:val="en-US" w:eastAsia="it-IT"/>
              </w:rPr>
              <w:t>for genotoxicity</w:t>
            </w:r>
          </w:p>
          <w:p w14:paraId="54FFC4A6" w14:textId="77777777" w:rsidR="00097148" w:rsidRPr="00097148" w:rsidRDefault="00097148" w:rsidP="00FD4260">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97148">
              <w:rPr>
                <w:rFonts w:eastAsia="Times New Roman" w:cs="Arial"/>
                <w:color w:val="000000" w:themeColor="dark1"/>
                <w:kern w:val="24"/>
                <w:sz w:val="18"/>
                <w:szCs w:val="18"/>
                <w:lang w:val="en-US" w:eastAsia="it-IT"/>
              </w:rPr>
              <w:t>Same alerts: N-Nitroso alert, H-acceptor-path3-H-acceptor</w:t>
            </w:r>
          </w:p>
          <w:p w14:paraId="73280020" w14:textId="77777777" w:rsidR="00097148" w:rsidRPr="00097148" w:rsidRDefault="00097148" w:rsidP="00FD4260">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97148">
              <w:rPr>
                <w:rFonts w:eastAsia="Times New Roman" w:cs="Arial"/>
                <w:color w:val="000000" w:themeColor="dark1"/>
                <w:kern w:val="24"/>
                <w:sz w:val="18"/>
                <w:szCs w:val="18"/>
                <w:lang w:val="en-US" w:eastAsia="it-IT"/>
              </w:rPr>
              <w:t>Reliable positive predictions for all cluster members</w:t>
            </w:r>
          </w:p>
          <w:p w14:paraId="74D3F335" w14:textId="77777777" w:rsidR="00385F44" w:rsidRDefault="00097148" w:rsidP="00FD4260">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97148">
              <w:rPr>
                <w:rFonts w:eastAsia="Times New Roman" w:cs="Arial"/>
                <w:color w:val="000000" w:themeColor="dark1"/>
                <w:kern w:val="24"/>
                <w:sz w:val="18"/>
                <w:szCs w:val="18"/>
                <w:lang w:val="en-US" w:eastAsia="it-IT"/>
              </w:rPr>
              <w:t>Positive experimental data available for 3 cluster members</w:t>
            </w:r>
          </w:p>
          <w:p w14:paraId="5067FB9B" w14:textId="25D7E104" w:rsidR="00097148" w:rsidRDefault="005C0E4C" w:rsidP="00FD4260">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C0E4C">
              <w:rPr>
                <w:rFonts w:eastAsia="Times New Roman" w:cs="Arial"/>
                <w:color w:val="000000" w:themeColor="dark1"/>
                <w:kern w:val="24"/>
                <w:sz w:val="18"/>
                <w:szCs w:val="18"/>
                <w:lang w:val="en-US" w:eastAsia="it-IT"/>
              </w:rPr>
              <w:t>R</w:t>
            </w:r>
            <w:r>
              <w:rPr>
                <w:rFonts w:eastAsia="Times New Roman" w:cs="Arial"/>
                <w:color w:val="000000" w:themeColor="dark1"/>
                <w:kern w:val="24"/>
                <w:sz w:val="18"/>
                <w:szCs w:val="18"/>
                <w:lang w:val="en-US" w:eastAsia="it-IT"/>
              </w:rPr>
              <w:t>emarks/Implications</w:t>
            </w:r>
            <w:r w:rsidR="00097148">
              <w:rPr>
                <w:rFonts w:eastAsia="Times New Roman" w:cs="Arial"/>
                <w:color w:val="000000" w:themeColor="dark1"/>
                <w:kern w:val="24"/>
                <w:sz w:val="18"/>
                <w:szCs w:val="18"/>
                <w:lang w:val="en-US" w:eastAsia="it-IT"/>
              </w:rPr>
              <w:t xml:space="preserve">: </w:t>
            </w:r>
            <w:r w:rsidR="00FD4260" w:rsidRPr="00FD4260">
              <w:rPr>
                <w:rFonts w:eastAsia="Times New Roman" w:cs="Arial"/>
                <w:color w:val="000000" w:themeColor="dark1"/>
                <w:kern w:val="24"/>
                <w:sz w:val="18"/>
                <w:szCs w:val="18"/>
                <w:lang w:val="en-US" w:eastAsia="it-IT"/>
              </w:rPr>
              <w:t>No need for further assessment of Cluster 2 members</w:t>
            </w:r>
          </w:p>
          <w:p w14:paraId="6B249AD2" w14:textId="38B344ED" w:rsidR="00FD4260" w:rsidRPr="00FD4260" w:rsidRDefault="00FD4260" w:rsidP="00097148">
            <w:pPr>
              <w:textAlignment w:val="center"/>
              <w:rPr>
                <w:rFonts w:ascii="Calibri" w:eastAsia="Times New Roman" w:hAnsi="Calibri" w:cs="Arial"/>
                <w:color w:val="000000" w:themeColor="dark1"/>
                <w:kern w:val="24"/>
                <w:sz w:val="18"/>
                <w:szCs w:val="18"/>
                <w:lang w:val="en-US" w:eastAsia="it-IT"/>
              </w:rPr>
            </w:pPr>
          </w:p>
        </w:tc>
      </w:tr>
      <w:tr w:rsidR="00CF688A" w:rsidRPr="007C7619" w14:paraId="24E80B3D" w14:textId="76546099" w:rsidTr="00CF688A">
        <w:trPr>
          <w:trHeight w:val="363"/>
        </w:trPr>
        <w:tc>
          <w:tcPr>
            <w:tcW w:w="416" w:type="pct"/>
            <w:hideMark/>
          </w:tcPr>
          <w:p w14:paraId="50CB00E3"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eastAsia="Times New Roman" w:hAnsi="Calibri" w:cs="Arial"/>
                <w:color w:val="000000" w:themeColor="dark1"/>
                <w:kern w:val="24"/>
                <w:sz w:val="18"/>
                <w:szCs w:val="18"/>
                <w:lang w:eastAsia="it-IT"/>
              </w:rPr>
              <w:t>3</w:t>
            </w:r>
          </w:p>
        </w:tc>
        <w:tc>
          <w:tcPr>
            <w:tcW w:w="1222" w:type="pct"/>
            <w:hideMark/>
          </w:tcPr>
          <w:p w14:paraId="16EDD551" w14:textId="08F3EEB1" w:rsidR="00385F44" w:rsidRPr="00385F44" w:rsidRDefault="00385F44" w:rsidP="00385F44">
            <w:pPr>
              <w:textAlignment w:val="center"/>
              <w:rPr>
                <w:rFonts w:ascii="Arial" w:eastAsia="Times New Roman" w:hAnsi="Arial" w:cs="Arial"/>
                <w:sz w:val="36"/>
                <w:szCs w:val="36"/>
                <w:lang w:val="en-US" w:eastAsia="it-IT"/>
              </w:rPr>
            </w:pPr>
            <w:r w:rsidRPr="00385F44">
              <w:rPr>
                <w:rFonts w:ascii="Calibri" w:eastAsia="Times New Roman" w:hAnsi="Calibri" w:cs="Arial"/>
                <w:color w:val="000000" w:themeColor="dark1"/>
                <w:kern w:val="24"/>
                <w:sz w:val="18"/>
                <w:szCs w:val="18"/>
                <w:lang w:val="en-US" w:eastAsia="it-IT"/>
              </w:rPr>
              <w:t>dic_09</w:t>
            </w:r>
            <w:r w:rsidR="00CA627E">
              <w:rPr>
                <w:rFonts w:ascii="Calibri" w:eastAsia="Times New Roman" w:hAnsi="Calibri" w:cs="Arial"/>
                <w:color w:val="000000" w:themeColor="dark1"/>
                <w:kern w:val="24"/>
                <w:sz w:val="18"/>
                <w:szCs w:val="18"/>
                <w:lang w:val="en-US" w:eastAsia="it-IT"/>
              </w:rPr>
              <w:t>*</w:t>
            </w:r>
            <w:r w:rsidRPr="00385F44">
              <w:rPr>
                <w:rFonts w:ascii="Calibri" w:eastAsia="Times New Roman" w:hAnsi="Calibri" w:cs="Arial"/>
                <w:color w:val="000000" w:themeColor="dark1"/>
                <w:kern w:val="24"/>
                <w:sz w:val="18"/>
                <w:szCs w:val="18"/>
                <w:lang w:val="en-US" w:eastAsia="it-IT"/>
              </w:rPr>
              <w:t>, lmp_10, lmp_11, lmp_20, lmp_21, lmp_23</w:t>
            </w:r>
          </w:p>
        </w:tc>
        <w:tc>
          <w:tcPr>
            <w:tcW w:w="288" w:type="pct"/>
            <w:hideMark/>
          </w:tcPr>
          <w:p w14:paraId="3D1D3787"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6</w:t>
            </w:r>
          </w:p>
        </w:tc>
        <w:tc>
          <w:tcPr>
            <w:tcW w:w="3075" w:type="pct"/>
          </w:tcPr>
          <w:p w14:paraId="51211A42" w14:textId="5FF9CCEE" w:rsidR="005C0E4C" w:rsidRDefault="005C0E4C" w:rsidP="00993B9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 xml:space="preserve">Main SOA class composition: </w:t>
            </w:r>
            <w:r w:rsidRPr="005C0E4C">
              <w:rPr>
                <w:rFonts w:eastAsia="Times New Roman" w:cs="Arial"/>
                <w:color w:val="000000" w:themeColor="dark1"/>
                <w:kern w:val="24"/>
                <w:sz w:val="18"/>
                <w:szCs w:val="18"/>
                <w:lang w:val="en-US" w:eastAsia="it-IT"/>
              </w:rPr>
              <w:t>low MW PAH</w:t>
            </w:r>
          </w:p>
          <w:p w14:paraId="56647F18" w14:textId="7FB04A90" w:rsidR="005C0E4C" w:rsidRPr="005C0E4C" w:rsidRDefault="005C0E4C" w:rsidP="00993B9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Different MoAs associated to the following alerts: nitro-a</w:t>
            </w:r>
            <w:r w:rsidRPr="005C0E4C">
              <w:rPr>
                <w:rFonts w:eastAsia="Times New Roman" w:cs="Arial"/>
                <w:color w:val="000000" w:themeColor="dark1"/>
                <w:kern w:val="24"/>
                <w:sz w:val="18"/>
                <w:szCs w:val="18"/>
                <w:lang w:val="en-US" w:eastAsia="it-IT"/>
              </w:rPr>
              <w:t>romatic AND/OR polycyclic aromatic hydrocarbons</w:t>
            </w:r>
          </w:p>
          <w:p w14:paraId="686C9C00" w14:textId="2929643C" w:rsidR="005C0E4C" w:rsidRPr="005C0E4C" w:rsidRDefault="005C0E4C" w:rsidP="00993B9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C0E4C">
              <w:rPr>
                <w:rFonts w:eastAsia="Times New Roman" w:cs="Arial"/>
                <w:color w:val="000000" w:themeColor="dark1"/>
                <w:kern w:val="24"/>
                <w:sz w:val="18"/>
                <w:szCs w:val="18"/>
                <w:lang w:val="en-US" w:eastAsia="it-IT"/>
              </w:rPr>
              <w:t xml:space="preserve">All positive genotoxicity predictions (except </w:t>
            </w:r>
            <w:r>
              <w:rPr>
                <w:rFonts w:eastAsia="Times New Roman" w:cs="Arial"/>
                <w:color w:val="000000" w:themeColor="dark1"/>
                <w:kern w:val="24"/>
                <w:sz w:val="18"/>
                <w:szCs w:val="18"/>
                <w:lang w:val="en-US" w:eastAsia="it-IT"/>
              </w:rPr>
              <w:t xml:space="preserve">for </w:t>
            </w:r>
            <w:r w:rsidRPr="005C0E4C">
              <w:rPr>
                <w:rFonts w:eastAsia="Times New Roman" w:cs="Arial"/>
                <w:color w:val="000000" w:themeColor="dark1"/>
                <w:kern w:val="24"/>
                <w:sz w:val="18"/>
                <w:szCs w:val="18"/>
                <w:lang w:val="en-US" w:eastAsia="it-IT"/>
              </w:rPr>
              <w:t>dic_09)</w:t>
            </w:r>
          </w:p>
          <w:p w14:paraId="33F71742" w14:textId="77777777" w:rsidR="00385F44" w:rsidRDefault="005C0E4C" w:rsidP="00993B9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C0E4C">
              <w:rPr>
                <w:rFonts w:eastAsia="Times New Roman" w:cs="Arial"/>
                <w:color w:val="000000" w:themeColor="dark1"/>
                <w:kern w:val="24"/>
                <w:sz w:val="18"/>
                <w:szCs w:val="18"/>
                <w:lang w:val="en-US" w:eastAsia="it-IT"/>
              </w:rPr>
              <w:t>Positive experimental data available for 3 cluster members</w:t>
            </w:r>
          </w:p>
          <w:p w14:paraId="5C0D9127" w14:textId="7B1A104D" w:rsidR="005C0E4C" w:rsidRPr="005C0E4C" w:rsidRDefault="005C0E4C" w:rsidP="00993B9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C0E4C">
              <w:rPr>
                <w:rFonts w:eastAsia="Times New Roman" w:cs="Arial"/>
                <w:color w:val="000000" w:themeColor="dark1"/>
                <w:kern w:val="24"/>
                <w:sz w:val="18"/>
                <w:szCs w:val="18"/>
                <w:lang w:val="en-US" w:eastAsia="it-IT"/>
              </w:rPr>
              <w:t>R</w:t>
            </w:r>
            <w:r>
              <w:rPr>
                <w:rFonts w:eastAsia="Times New Roman" w:cs="Arial"/>
                <w:color w:val="000000" w:themeColor="dark1"/>
                <w:kern w:val="24"/>
                <w:sz w:val="18"/>
                <w:szCs w:val="18"/>
                <w:lang w:val="en-US" w:eastAsia="it-IT"/>
              </w:rPr>
              <w:t>emarks/Implications: i</w:t>
            </w:r>
            <w:r w:rsidRPr="005C0E4C">
              <w:rPr>
                <w:rFonts w:eastAsia="Times New Roman" w:cs="Arial"/>
                <w:color w:val="000000" w:themeColor="dark1"/>
                <w:kern w:val="24"/>
                <w:sz w:val="18"/>
                <w:szCs w:val="18"/>
                <w:lang w:val="en-US" w:eastAsia="it-IT"/>
              </w:rPr>
              <w:t xml:space="preserve">ndeterminate prediction </w:t>
            </w:r>
            <w:r>
              <w:rPr>
                <w:rFonts w:eastAsia="Times New Roman" w:cs="Arial"/>
                <w:color w:val="000000" w:themeColor="dark1"/>
                <w:kern w:val="24"/>
                <w:sz w:val="18"/>
                <w:szCs w:val="18"/>
                <w:lang w:val="en-US" w:eastAsia="it-IT"/>
              </w:rPr>
              <w:t>of dic_09</w:t>
            </w:r>
            <w:r w:rsidR="00223497">
              <w:rPr>
                <w:rFonts w:eastAsia="Times New Roman" w:cs="Arial"/>
                <w:color w:val="000000" w:themeColor="dark1"/>
                <w:kern w:val="24"/>
                <w:sz w:val="18"/>
                <w:szCs w:val="18"/>
                <w:lang w:val="en-US" w:eastAsia="it-IT"/>
              </w:rPr>
              <w:t>(*)</w:t>
            </w:r>
            <w:r>
              <w:rPr>
                <w:rFonts w:eastAsia="Times New Roman" w:cs="Arial"/>
                <w:color w:val="000000" w:themeColor="dark1"/>
                <w:kern w:val="24"/>
                <w:sz w:val="18"/>
                <w:szCs w:val="18"/>
                <w:lang w:val="en-US" w:eastAsia="it-IT"/>
              </w:rPr>
              <w:t xml:space="preserve"> is </w:t>
            </w:r>
            <w:r w:rsidRPr="005C0E4C">
              <w:rPr>
                <w:rFonts w:eastAsia="Times New Roman" w:cs="Arial"/>
                <w:color w:val="000000" w:themeColor="dark1"/>
                <w:kern w:val="24"/>
                <w:sz w:val="18"/>
                <w:szCs w:val="18"/>
                <w:lang w:val="en-US" w:eastAsia="it-IT"/>
              </w:rPr>
              <w:t>not supported by the cluster (different MoAs/alerts)</w:t>
            </w:r>
            <w:r>
              <w:rPr>
                <w:rFonts w:eastAsia="Times New Roman" w:cs="Arial"/>
                <w:color w:val="000000" w:themeColor="dark1"/>
                <w:kern w:val="24"/>
                <w:sz w:val="18"/>
                <w:szCs w:val="18"/>
                <w:lang w:val="en-US" w:eastAsia="it-IT"/>
              </w:rPr>
              <w:t xml:space="preserve">, highlighting the </w:t>
            </w:r>
            <w:r w:rsidRPr="005C0E4C">
              <w:rPr>
                <w:rFonts w:eastAsia="Times New Roman" w:cs="Arial"/>
                <w:color w:val="000000" w:themeColor="dark1"/>
                <w:kern w:val="24"/>
                <w:sz w:val="18"/>
                <w:szCs w:val="18"/>
                <w:lang w:val="en-US" w:eastAsia="it-IT"/>
              </w:rPr>
              <w:t>need for experimental data</w:t>
            </w:r>
            <w:r>
              <w:rPr>
                <w:rFonts w:eastAsia="Times New Roman" w:cs="Arial"/>
                <w:color w:val="000000" w:themeColor="dark1"/>
                <w:kern w:val="24"/>
                <w:sz w:val="18"/>
                <w:szCs w:val="18"/>
                <w:lang w:val="en-US" w:eastAsia="it-IT"/>
              </w:rPr>
              <w:t xml:space="preserve"> for this compound</w:t>
            </w:r>
          </w:p>
          <w:p w14:paraId="1E0AC698" w14:textId="29A99580" w:rsidR="005C0E4C" w:rsidRPr="005C0E4C" w:rsidRDefault="005C0E4C" w:rsidP="005C0E4C">
            <w:pPr>
              <w:textAlignment w:val="center"/>
              <w:rPr>
                <w:rFonts w:ascii="Calibri" w:eastAsia="Times New Roman" w:hAnsi="Calibri" w:cs="Arial"/>
                <w:color w:val="000000" w:themeColor="dark1"/>
                <w:kern w:val="24"/>
                <w:sz w:val="18"/>
                <w:szCs w:val="18"/>
                <w:lang w:val="en-US" w:eastAsia="it-IT"/>
              </w:rPr>
            </w:pPr>
          </w:p>
        </w:tc>
      </w:tr>
      <w:tr w:rsidR="00CF688A" w:rsidRPr="007C7619" w14:paraId="227BEB33" w14:textId="1E71762F" w:rsidTr="00CF688A">
        <w:trPr>
          <w:trHeight w:val="363"/>
        </w:trPr>
        <w:tc>
          <w:tcPr>
            <w:tcW w:w="416" w:type="pct"/>
            <w:hideMark/>
          </w:tcPr>
          <w:p w14:paraId="7503EACA"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kern w:val="24"/>
                <w:sz w:val="18"/>
                <w:szCs w:val="18"/>
                <w:lang w:eastAsia="it-IT"/>
              </w:rPr>
              <w:t>4</w:t>
            </w:r>
          </w:p>
        </w:tc>
        <w:tc>
          <w:tcPr>
            <w:tcW w:w="1222" w:type="pct"/>
            <w:hideMark/>
          </w:tcPr>
          <w:p w14:paraId="32533A19" w14:textId="296F1F7F" w:rsidR="00385F44" w:rsidRPr="00385F44" w:rsidRDefault="00385F44" w:rsidP="00385F44">
            <w:pPr>
              <w:textAlignment w:val="center"/>
              <w:rPr>
                <w:rFonts w:ascii="Arial" w:eastAsia="Times New Roman" w:hAnsi="Arial" w:cs="Arial"/>
                <w:sz w:val="36"/>
                <w:szCs w:val="36"/>
                <w:lang w:val="en-US" w:eastAsia="it-IT"/>
              </w:rPr>
            </w:pPr>
            <w:r w:rsidRPr="00385F44">
              <w:rPr>
                <w:rFonts w:ascii="Calibri" w:eastAsia="Times New Roman" w:hAnsi="Calibri" w:cs="Arial"/>
                <w:color w:val="000000" w:themeColor="dark1"/>
                <w:kern w:val="24"/>
                <w:sz w:val="18"/>
                <w:szCs w:val="18"/>
                <w:lang w:val="en-US" w:eastAsia="it-IT"/>
              </w:rPr>
              <w:t>lmp_03</w:t>
            </w:r>
            <w:r w:rsidR="00CA627E">
              <w:rPr>
                <w:rFonts w:ascii="Calibri" w:eastAsia="Times New Roman" w:hAnsi="Calibri" w:cs="Arial"/>
                <w:color w:val="000000" w:themeColor="dark1"/>
                <w:kern w:val="24"/>
                <w:sz w:val="18"/>
                <w:szCs w:val="18"/>
                <w:lang w:val="en-US" w:eastAsia="it-IT"/>
              </w:rPr>
              <w:t>*</w:t>
            </w:r>
            <w:r w:rsidRPr="00385F44">
              <w:rPr>
                <w:rFonts w:ascii="Calibri" w:eastAsia="Times New Roman" w:hAnsi="Calibri" w:cs="Arial"/>
                <w:color w:val="000000" w:themeColor="dark1"/>
                <w:kern w:val="24"/>
                <w:sz w:val="18"/>
                <w:szCs w:val="18"/>
                <w:lang w:val="en-US" w:eastAsia="it-IT"/>
              </w:rPr>
              <w:t>, lmp_04, lmp_15</w:t>
            </w:r>
            <w:r w:rsidR="00CA627E">
              <w:rPr>
                <w:rFonts w:ascii="Calibri" w:eastAsia="Times New Roman" w:hAnsi="Calibri" w:cs="Arial"/>
                <w:color w:val="000000" w:themeColor="dark1"/>
                <w:kern w:val="24"/>
                <w:sz w:val="18"/>
                <w:szCs w:val="18"/>
                <w:lang w:val="en-US" w:eastAsia="it-IT"/>
              </w:rPr>
              <w:t>*</w:t>
            </w:r>
            <w:r w:rsidRPr="00385F44">
              <w:rPr>
                <w:rFonts w:ascii="Calibri" w:eastAsia="Times New Roman" w:hAnsi="Calibri" w:cs="Arial"/>
                <w:color w:val="000000" w:themeColor="dark1"/>
                <w:kern w:val="24"/>
                <w:sz w:val="18"/>
                <w:szCs w:val="18"/>
                <w:lang w:val="en-US" w:eastAsia="it-IT"/>
              </w:rPr>
              <w:t>, lmp_16</w:t>
            </w:r>
            <w:r w:rsidR="00CA627E">
              <w:rPr>
                <w:rFonts w:ascii="Calibri" w:eastAsia="Times New Roman" w:hAnsi="Calibri" w:cs="Arial"/>
                <w:color w:val="000000" w:themeColor="dark1"/>
                <w:kern w:val="24"/>
                <w:sz w:val="18"/>
                <w:szCs w:val="18"/>
                <w:lang w:val="en-US" w:eastAsia="it-IT"/>
              </w:rPr>
              <w:t>*</w:t>
            </w:r>
            <w:r w:rsidRPr="00385F44">
              <w:rPr>
                <w:rFonts w:ascii="Calibri" w:eastAsia="Times New Roman" w:hAnsi="Calibri" w:cs="Arial"/>
                <w:color w:val="000000" w:themeColor="dark1"/>
                <w:kern w:val="24"/>
                <w:sz w:val="18"/>
                <w:szCs w:val="18"/>
                <w:lang w:val="en-US" w:eastAsia="it-IT"/>
              </w:rPr>
              <w:t>, lmp_19</w:t>
            </w:r>
            <w:r w:rsidR="00CA627E" w:rsidRPr="00CA627E">
              <w:rPr>
                <w:rFonts w:ascii="Calibri" w:eastAsia="Times New Roman" w:hAnsi="Calibri" w:cs="Arial"/>
                <w:color w:val="000000" w:themeColor="dark1"/>
                <w:kern w:val="24"/>
                <w:sz w:val="18"/>
                <w:szCs w:val="18"/>
                <w:vertAlign w:val="superscript"/>
                <w:lang w:val="en-US" w:eastAsia="it-IT"/>
              </w:rPr>
              <w:t>#</w:t>
            </w:r>
          </w:p>
        </w:tc>
        <w:tc>
          <w:tcPr>
            <w:tcW w:w="288" w:type="pct"/>
            <w:hideMark/>
          </w:tcPr>
          <w:p w14:paraId="3DE8AE85"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5</w:t>
            </w:r>
          </w:p>
        </w:tc>
        <w:tc>
          <w:tcPr>
            <w:tcW w:w="3075" w:type="pct"/>
          </w:tcPr>
          <w:p w14:paraId="186CBB2F" w14:textId="77777777" w:rsidR="00CA627E" w:rsidRPr="00CA627E" w:rsidRDefault="00CA627E" w:rsidP="00565572">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A627E">
              <w:rPr>
                <w:rFonts w:eastAsia="Times New Roman" w:cs="Arial"/>
                <w:color w:val="000000" w:themeColor="dark1"/>
                <w:kern w:val="24"/>
                <w:sz w:val="18"/>
                <w:szCs w:val="18"/>
                <w:lang w:val="en-US" w:eastAsia="it-IT"/>
              </w:rPr>
              <w:t>Same SOA class: low MW PAH</w:t>
            </w:r>
          </w:p>
          <w:p w14:paraId="1E55AEAD" w14:textId="76515678" w:rsidR="00CA627E" w:rsidRPr="00CA627E" w:rsidRDefault="00CA627E" w:rsidP="00565572">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A627E">
              <w:rPr>
                <w:rFonts w:eastAsia="Times New Roman" w:cs="Arial"/>
                <w:color w:val="000000" w:themeColor="dark1"/>
                <w:kern w:val="24"/>
                <w:sz w:val="18"/>
                <w:szCs w:val="18"/>
                <w:lang w:val="en-US" w:eastAsia="it-IT"/>
              </w:rPr>
              <w:t>Same MoAs for 3 cluster members (*)</w:t>
            </w:r>
          </w:p>
          <w:p w14:paraId="581AE9F4" w14:textId="77777777" w:rsidR="00CA627E" w:rsidRPr="00CA627E" w:rsidRDefault="00CA627E" w:rsidP="00565572">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A627E">
              <w:rPr>
                <w:rFonts w:eastAsia="Times New Roman" w:cs="Arial"/>
                <w:color w:val="000000" w:themeColor="dark1"/>
                <w:kern w:val="24"/>
                <w:sz w:val="18"/>
                <w:szCs w:val="18"/>
                <w:lang w:val="en-US" w:eastAsia="it-IT"/>
              </w:rPr>
              <w:t>Alerts: alpha, beta-Unsaturated Aldehydes, Simple aldehyde, H-acceptor-path3-H-acceptor</w:t>
            </w:r>
          </w:p>
          <w:p w14:paraId="1B8E1DF1" w14:textId="77777777" w:rsidR="00CA627E" w:rsidRPr="00CA627E" w:rsidRDefault="00CA627E" w:rsidP="00565572">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A627E">
              <w:rPr>
                <w:rFonts w:eastAsia="Times New Roman" w:cs="Arial"/>
                <w:color w:val="000000" w:themeColor="dark1"/>
                <w:kern w:val="24"/>
                <w:sz w:val="18"/>
                <w:szCs w:val="18"/>
                <w:lang w:val="en-US" w:eastAsia="it-IT"/>
              </w:rPr>
              <w:t>Common alert: aldehyde</w:t>
            </w:r>
          </w:p>
          <w:p w14:paraId="647D5A6C" w14:textId="77777777" w:rsidR="00385F44" w:rsidRDefault="00CA627E" w:rsidP="00565572">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CA627E">
              <w:rPr>
                <w:rFonts w:eastAsia="Times New Roman" w:cs="Arial"/>
                <w:color w:val="000000" w:themeColor="dark1"/>
                <w:kern w:val="24"/>
                <w:sz w:val="18"/>
                <w:szCs w:val="18"/>
                <w:lang w:val="en-US" w:eastAsia="it-IT"/>
              </w:rPr>
              <w:t>Indeterminate predictions for 4 members (*/</w:t>
            </w:r>
            <w:r w:rsidRPr="00565572">
              <w:rPr>
                <w:rFonts w:eastAsia="Times New Roman" w:cs="Arial"/>
                <w:color w:val="000000" w:themeColor="dark1"/>
                <w:kern w:val="24"/>
                <w:sz w:val="18"/>
                <w:szCs w:val="18"/>
                <w:vertAlign w:val="superscript"/>
                <w:lang w:val="en-US" w:eastAsia="it-IT"/>
              </w:rPr>
              <w:t>#</w:t>
            </w:r>
            <w:r w:rsidRPr="00CA627E">
              <w:rPr>
                <w:rFonts w:eastAsia="Times New Roman" w:cs="Arial"/>
                <w:color w:val="000000" w:themeColor="dark1"/>
                <w:kern w:val="24"/>
                <w:sz w:val="18"/>
                <w:szCs w:val="18"/>
                <w:lang w:val="en-US" w:eastAsia="it-IT"/>
              </w:rPr>
              <w:t>)</w:t>
            </w:r>
          </w:p>
          <w:p w14:paraId="3DFA3355" w14:textId="77777777" w:rsidR="00CA627E" w:rsidRDefault="00CA627E" w:rsidP="00565572">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 xml:space="preserve">Remarks/Implications: 1) </w:t>
            </w:r>
            <w:r w:rsidRPr="00CA627E">
              <w:rPr>
                <w:rFonts w:eastAsia="Times New Roman" w:cs="Arial"/>
                <w:color w:val="000000" w:themeColor="dark1"/>
                <w:kern w:val="24"/>
                <w:sz w:val="18"/>
                <w:szCs w:val="18"/>
                <w:lang w:val="en-US" w:eastAsia="it-IT"/>
              </w:rPr>
              <w:t xml:space="preserve">Need for experimental data </w:t>
            </w:r>
            <w:r>
              <w:rPr>
                <w:rFonts w:eastAsia="Times New Roman" w:cs="Arial"/>
                <w:color w:val="000000" w:themeColor="dark1"/>
                <w:kern w:val="24"/>
                <w:sz w:val="18"/>
                <w:szCs w:val="18"/>
                <w:lang w:val="en-US" w:eastAsia="it-IT"/>
              </w:rPr>
              <w:t>for Imp_19(</w:t>
            </w:r>
            <w:r w:rsidRPr="00565572">
              <w:rPr>
                <w:rFonts w:eastAsia="Times New Roman" w:cs="Arial"/>
                <w:color w:val="000000" w:themeColor="dark1"/>
                <w:kern w:val="24"/>
                <w:sz w:val="18"/>
                <w:szCs w:val="18"/>
                <w:vertAlign w:val="superscript"/>
                <w:lang w:val="en-US" w:eastAsia="it-IT"/>
              </w:rPr>
              <w:t>#</w:t>
            </w:r>
            <w:r>
              <w:rPr>
                <w:rFonts w:eastAsia="Times New Roman" w:cs="Arial"/>
                <w:color w:val="000000" w:themeColor="dark1"/>
                <w:kern w:val="24"/>
                <w:sz w:val="18"/>
                <w:szCs w:val="18"/>
                <w:lang w:val="en-US" w:eastAsia="it-IT"/>
              </w:rPr>
              <w:t>)</w:t>
            </w:r>
            <w:r w:rsidR="00223497">
              <w:rPr>
                <w:rFonts w:eastAsia="Times New Roman" w:cs="Arial"/>
                <w:color w:val="000000" w:themeColor="dark1"/>
                <w:kern w:val="24"/>
                <w:sz w:val="18"/>
                <w:szCs w:val="18"/>
                <w:lang w:val="en-US" w:eastAsia="it-IT"/>
              </w:rPr>
              <w:t>; 2)</w:t>
            </w:r>
            <w:r w:rsidRPr="00CA627E">
              <w:rPr>
                <w:rFonts w:eastAsia="Times New Roman" w:cs="Arial"/>
                <w:color w:val="000000" w:themeColor="dark1"/>
                <w:kern w:val="24"/>
                <w:sz w:val="18"/>
                <w:szCs w:val="18"/>
                <w:lang w:val="en-US" w:eastAsia="it-IT"/>
              </w:rPr>
              <w:t xml:space="preserve"> Need </w:t>
            </w:r>
            <w:r w:rsidRPr="00CA627E">
              <w:rPr>
                <w:rFonts w:eastAsia="Times New Roman" w:cs="Arial"/>
                <w:color w:val="000000" w:themeColor="dark1"/>
                <w:kern w:val="24"/>
                <w:sz w:val="18"/>
                <w:szCs w:val="18"/>
                <w:lang w:val="en-US" w:eastAsia="it-IT"/>
              </w:rPr>
              <w:lastRenderedPageBreak/>
              <w:t xml:space="preserve">for experimental data </w:t>
            </w:r>
            <w:r w:rsidR="00223497">
              <w:rPr>
                <w:rFonts w:eastAsia="Times New Roman" w:cs="Arial"/>
                <w:color w:val="000000" w:themeColor="dark1"/>
                <w:kern w:val="24"/>
                <w:sz w:val="18"/>
                <w:szCs w:val="18"/>
                <w:lang w:val="en-US" w:eastAsia="it-IT"/>
              </w:rPr>
              <w:t xml:space="preserve">for one compound and </w:t>
            </w:r>
            <w:r w:rsidRPr="00CA627E">
              <w:rPr>
                <w:rFonts w:eastAsia="Times New Roman" w:cs="Arial"/>
                <w:color w:val="000000" w:themeColor="dark1"/>
                <w:kern w:val="24"/>
                <w:sz w:val="18"/>
                <w:szCs w:val="18"/>
                <w:lang w:val="en-US" w:eastAsia="it-IT"/>
              </w:rPr>
              <w:t xml:space="preserve">possible read-across </w:t>
            </w:r>
            <w:r w:rsidR="00223497">
              <w:rPr>
                <w:rFonts w:eastAsia="Times New Roman" w:cs="Arial"/>
                <w:color w:val="000000" w:themeColor="dark1"/>
                <w:kern w:val="24"/>
                <w:sz w:val="18"/>
                <w:szCs w:val="18"/>
                <w:lang w:val="en-US" w:eastAsia="it-IT"/>
              </w:rPr>
              <w:t>predictions for other compounds (*)</w:t>
            </w:r>
          </w:p>
          <w:p w14:paraId="01CFAF10" w14:textId="38F84E1D" w:rsidR="00565572" w:rsidRPr="00CA627E" w:rsidRDefault="00565572" w:rsidP="00223497">
            <w:pPr>
              <w:textAlignment w:val="center"/>
              <w:rPr>
                <w:rFonts w:ascii="Calibri" w:eastAsia="Times New Roman" w:hAnsi="Calibri" w:cs="Arial"/>
                <w:color w:val="000000" w:themeColor="dark1"/>
                <w:kern w:val="24"/>
                <w:sz w:val="18"/>
                <w:szCs w:val="18"/>
                <w:lang w:val="en-US" w:eastAsia="it-IT"/>
              </w:rPr>
            </w:pPr>
          </w:p>
        </w:tc>
      </w:tr>
      <w:tr w:rsidR="00CF688A" w:rsidRPr="007C7619" w14:paraId="36DC0D00" w14:textId="177B9EF4" w:rsidTr="00CF688A">
        <w:trPr>
          <w:trHeight w:val="363"/>
        </w:trPr>
        <w:tc>
          <w:tcPr>
            <w:tcW w:w="416" w:type="pct"/>
            <w:hideMark/>
          </w:tcPr>
          <w:p w14:paraId="06FAD6ED"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eastAsia="Times New Roman" w:hAnsi="Calibri" w:cs="Arial"/>
                <w:color w:val="000000" w:themeColor="dark1"/>
                <w:kern w:val="24"/>
                <w:sz w:val="18"/>
                <w:szCs w:val="18"/>
                <w:lang w:eastAsia="it-IT"/>
              </w:rPr>
              <w:lastRenderedPageBreak/>
              <w:t>5</w:t>
            </w:r>
          </w:p>
        </w:tc>
        <w:tc>
          <w:tcPr>
            <w:tcW w:w="1222" w:type="pct"/>
            <w:hideMark/>
          </w:tcPr>
          <w:p w14:paraId="6013FBF1" w14:textId="307AE1D7" w:rsidR="00385F44" w:rsidRPr="00385F44" w:rsidRDefault="00385F44" w:rsidP="00385F44">
            <w:pP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dic_02</w:t>
            </w:r>
            <w:r w:rsidR="00794C45">
              <w:rPr>
                <w:rFonts w:ascii="Calibri" w:eastAsia="Times New Roman" w:hAnsi="Calibri" w:cs="Arial"/>
                <w:color w:val="000000" w:themeColor="dark1"/>
                <w:kern w:val="24"/>
                <w:sz w:val="18"/>
                <w:szCs w:val="18"/>
                <w:lang w:eastAsia="it-IT"/>
              </w:rPr>
              <w:t>*</w:t>
            </w:r>
            <w:r w:rsidRPr="00385F44">
              <w:rPr>
                <w:rFonts w:ascii="Calibri" w:eastAsia="Times New Roman" w:hAnsi="Calibri" w:cs="Arial"/>
                <w:color w:val="000000" w:themeColor="dark1"/>
                <w:kern w:val="24"/>
                <w:sz w:val="18"/>
                <w:szCs w:val="18"/>
                <w:lang w:eastAsia="it-IT"/>
              </w:rPr>
              <w:t>, mtr_04, mtr_20</w:t>
            </w:r>
          </w:p>
        </w:tc>
        <w:tc>
          <w:tcPr>
            <w:tcW w:w="288" w:type="pct"/>
            <w:hideMark/>
          </w:tcPr>
          <w:p w14:paraId="79B52F14"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3</w:t>
            </w:r>
          </w:p>
        </w:tc>
        <w:tc>
          <w:tcPr>
            <w:tcW w:w="3075" w:type="pct"/>
          </w:tcPr>
          <w:p w14:paraId="137264C1" w14:textId="77777777" w:rsidR="00565572" w:rsidRPr="00565572" w:rsidRDefault="00565572"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65572">
              <w:rPr>
                <w:rFonts w:eastAsia="Times New Roman" w:cs="Arial"/>
                <w:color w:val="000000" w:themeColor="dark1"/>
                <w:kern w:val="24"/>
                <w:sz w:val="18"/>
                <w:szCs w:val="18"/>
                <w:lang w:val="en-US" w:eastAsia="it-IT"/>
              </w:rPr>
              <w:t>Two SOA classes: Monoterpene and Dicarbonyl (C2-C3)</w:t>
            </w:r>
          </w:p>
          <w:p w14:paraId="268FEA60" w14:textId="77777777" w:rsidR="00565572" w:rsidRPr="00565572" w:rsidRDefault="00565572"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65572">
              <w:rPr>
                <w:rFonts w:eastAsia="Times New Roman" w:cs="Arial"/>
                <w:color w:val="000000" w:themeColor="dark1"/>
                <w:kern w:val="24"/>
                <w:sz w:val="18"/>
                <w:szCs w:val="18"/>
                <w:lang w:val="en-US" w:eastAsia="it-IT"/>
              </w:rPr>
              <w:t>Alerts: Simple aldehyde, H-acceptor-path3-H-acceptor</w:t>
            </w:r>
          </w:p>
          <w:p w14:paraId="7A1F296E" w14:textId="77777777" w:rsidR="00565572" w:rsidRPr="00565572" w:rsidRDefault="00565572"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65572">
              <w:rPr>
                <w:rFonts w:eastAsia="Times New Roman" w:cs="Arial"/>
                <w:color w:val="000000" w:themeColor="dark1"/>
                <w:kern w:val="24"/>
                <w:sz w:val="18"/>
                <w:szCs w:val="18"/>
                <w:lang w:val="en-US" w:eastAsia="it-IT"/>
              </w:rPr>
              <w:t>Common alert: simple aldehyde</w:t>
            </w:r>
          </w:p>
          <w:p w14:paraId="188568E2" w14:textId="77777777" w:rsidR="00565572" w:rsidRPr="00565572" w:rsidRDefault="00565572"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65572">
              <w:rPr>
                <w:rFonts w:eastAsia="Times New Roman" w:cs="Arial"/>
                <w:color w:val="000000" w:themeColor="dark1"/>
                <w:kern w:val="24"/>
                <w:sz w:val="18"/>
                <w:szCs w:val="18"/>
                <w:lang w:val="en-US" w:eastAsia="it-IT"/>
              </w:rPr>
              <w:t>Same mechanistic profile for dic 02 and mtr 20</w:t>
            </w:r>
          </w:p>
          <w:p w14:paraId="7536BC49" w14:textId="77777777" w:rsidR="00385F44" w:rsidRDefault="00565572"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565572">
              <w:rPr>
                <w:rFonts w:eastAsia="Times New Roman" w:cs="Arial"/>
                <w:color w:val="000000" w:themeColor="dark1"/>
                <w:kern w:val="24"/>
                <w:sz w:val="18"/>
                <w:szCs w:val="18"/>
                <w:lang w:val="en-US" w:eastAsia="it-IT"/>
              </w:rPr>
              <w:t>Negative predictions for 2 members and 1 indeterminate prediction (*)</w:t>
            </w:r>
          </w:p>
          <w:p w14:paraId="0641A39B" w14:textId="77777777" w:rsidR="00794C45" w:rsidRDefault="00794C45"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Remarks/Implications:</w:t>
            </w:r>
            <w:r w:rsidRPr="00794C45">
              <w:rPr>
                <w:rFonts w:eastAsia="Times New Roman" w:cs="Arial"/>
                <w:color w:val="000000" w:themeColor="dark1"/>
                <w:kern w:val="24"/>
                <w:sz w:val="18"/>
                <w:szCs w:val="18"/>
                <w:lang w:val="en-US" w:eastAsia="it-IT"/>
              </w:rPr>
              <w:t xml:space="preserve"> Need for experimental data </w:t>
            </w:r>
            <w:r>
              <w:rPr>
                <w:rFonts w:eastAsia="Times New Roman" w:cs="Arial"/>
                <w:color w:val="000000" w:themeColor="dark1"/>
                <w:kern w:val="24"/>
                <w:sz w:val="18"/>
                <w:szCs w:val="18"/>
                <w:lang w:val="en-US" w:eastAsia="it-IT"/>
              </w:rPr>
              <w:t xml:space="preserve">for dic_02(*) and </w:t>
            </w:r>
            <w:r w:rsidRPr="00794C45">
              <w:rPr>
                <w:rFonts w:eastAsia="Times New Roman" w:cs="Arial"/>
                <w:color w:val="000000" w:themeColor="dark1"/>
                <w:kern w:val="24"/>
                <w:sz w:val="18"/>
                <w:szCs w:val="18"/>
                <w:lang w:val="en-US" w:eastAsia="it-IT"/>
              </w:rPr>
              <w:t xml:space="preserve">possible read-across </w:t>
            </w:r>
            <w:r>
              <w:rPr>
                <w:rFonts w:eastAsia="Times New Roman" w:cs="Arial"/>
                <w:color w:val="000000" w:themeColor="dark1"/>
                <w:kern w:val="24"/>
                <w:sz w:val="18"/>
                <w:szCs w:val="18"/>
                <w:lang w:val="en-US" w:eastAsia="it-IT"/>
              </w:rPr>
              <w:t xml:space="preserve">from dic_02 to mtr_20 </w:t>
            </w:r>
            <w:r w:rsidRPr="00794C45">
              <w:rPr>
                <w:rFonts w:eastAsia="Times New Roman" w:cs="Arial"/>
                <w:color w:val="000000" w:themeColor="dark1"/>
                <w:kern w:val="24"/>
                <w:sz w:val="18"/>
                <w:szCs w:val="18"/>
                <w:lang w:val="en-US" w:eastAsia="it-IT"/>
              </w:rPr>
              <w:t>to support the borderline prediction</w:t>
            </w:r>
          </w:p>
          <w:p w14:paraId="7C8DBB93" w14:textId="018CAA1A" w:rsidR="0010007E" w:rsidRPr="00565572" w:rsidRDefault="0010007E" w:rsidP="00794C45">
            <w:pPr>
              <w:textAlignment w:val="center"/>
              <w:rPr>
                <w:rFonts w:ascii="Calibri" w:eastAsia="Times New Roman" w:hAnsi="Calibri" w:cs="Arial"/>
                <w:color w:val="000000" w:themeColor="dark1"/>
                <w:kern w:val="24"/>
                <w:sz w:val="18"/>
                <w:szCs w:val="18"/>
                <w:lang w:val="en-US" w:eastAsia="it-IT"/>
              </w:rPr>
            </w:pPr>
          </w:p>
        </w:tc>
      </w:tr>
      <w:tr w:rsidR="00CF688A" w:rsidRPr="007C7619" w14:paraId="6328E122" w14:textId="6461EB70" w:rsidTr="00CF688A">
        <w:trPr>
          <w:trHeight w:val="363"/>
        </w:trPr>
        <w:tc>
          <w:tcPr>
            <w:tcW w:w="416" w:type="pct"/>
            <w:hideMark/>
          </w:tcPr>
          <w:p w14:paraId="32EB80DB"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eastAsia="Times New Roman" w:hAnsi="Calibri" w:cs="Arial"/>
                <w:color w:val="000000" w:themeColor="dark1"/>
                <w:kern w:val="24"/>
                <w:sz w:val="18"/>
                <w:szCs w:val="18"/>
                <w:lang w:eastAsia="it-IT"/>
              </w:rPr>
              <w:t>6</w:t>
            </w:r>
          </w:p>
        </w:tc>
        <w:tc>
          <w:tcPr>
            <w:tcW w:w="1222" w:type="pct"/>
            <w:hideMark/>
          </w:tcPr>
          <w:p w14:paraId="0FBB32D2" w14:textId="77777777" w:rsidR="00385F44" w:rsidRPr="00385F44" w:rsidRDefault="00385F44" w:rsidP="00385F44">
            <w:pP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mtr_26, mtr_27</w:t>
            </w:r>
          </w:p>
        </w:tc>
        <w:tc>
          <w:tcPr>
            <w:tcW w:w="288" w:type="pct"/>
            <w:hideMark/>
          </w:tcPr>
          <w:p w14:paraId="1B994CED" w14:textId="77777777" w:rsidR="00385F44" w:rsidRPr="00385F44" w:rsidRDefault="00385F44" w:rsidP="00385F44">
            <w:pPr>
              <w:jc w:val="center"/>
              <w:textAlignment w:val="center"/>
              <w:rPr>
                <w:rFonts w:ascii="Arial" w:eastAsia="Times New Roman" w:hAnsi="Arial" w:cs="Arial"/>
                <w:sz w:val="36"/>
                <w:szCs w:val="36"/>
                <w:lang w:eastAsia="it-IT"/>
              </w:rPr>
            </w:pPr>
            <w:r w:rsidRPr="00385F44">
              <w:rPr>
                <w:rFonts w:ascii="Calibri" w:eastAsia="Times New Roman" w:hAnsi="Calibri" w:cs="Arial"/>
                <w:color w:val="000000" w:themeColor="dark1"/>
                <w:kern w:val="24"/>
                <w:sz w:val="18"/>
                <w:szCs w:val="18"/>
                <w:lang w:eastAsia="it-IT"/>
              </w:rPr>
              <w:t>2</w:t>
            </w:r>
          </w:p>
        </w:tc>
        <w:tc>
          <w:tcPr>
            <w:tcW w:w="3075" w:type="pct"/>
          </w:tcPr>
          <w:p w14:paraId="1C23BD5B" w14:textId="77777777" w:rsidR="006744EF" w:rsidRPr="006744EF" w:rsidRDefault="006744EF"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744EF">
              <w:rPr>
                <w:rFonts w:eastAsia="Times New Roman" w:cs="Arial"/>
                <w:color w:val="000000" w:themeColor="dark1"/>
                <w:kern w:val="24"/>
                <w:sz w:val="18"/>
                <w:szCs w:val="18"/>
                <w:lang w:val="en-US" w:eastAsia="it-IT"/>
              </w:rPr>
              <w:t xml:space="preserve">Same SOA class: Monoterpene </w:t>
            </w:r>
          </w:p>
          <w:p w14:paraId="63D74F31" w14:textId="77777777" w:rsidR="006744EF" w:rsidRDefault="006744EF"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744EF">
              <w:rPr>
                <w:rFonts w:eastAsia="Times New Roman" w:cs="Arial"/>
                <w:color w:val="000000" w:themeColor="dark1"/>
                <w:kern w:val="24"/>
                <w:sz w:val="18"/>
                <w:szCs w:val="18"/>
                <w:lang w:val="en-US" w:eastAsia="it-IT"/>
              </w:rPr>
              <w:t xml:space="preserve">Same MoA </w:t>
            </w:r>
            <w:r>
              <w:rPr>
                <w:rFonts w:eastAsia="Times New Roman" w:cs="Arial"/>
                <w:color w:val="000000" w:themeColor="dark1"/>
                <w:kern w:val="24"/>
                <w:sz w:val="18"/>
                <w:szCs w:val="18"/>
                <w:lang w:val="en-US" w:eastAsia="it-IT"/>
              </w:rPr>
              <w:t>for genotoxicity</w:t>
            </w:r>
          </w:p>
          <w:p w14:paraId="5A9EB5F9" w14:textId="1BA5AE2E" w:rsidR="006744EF" w:rsidRPr="006744EF" w:rsidRDefault="006744EF"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744EF">
              <w:rPr>
                <w:rFonts w:eastAsia="Times New Roman" w:cs="Arial"/>
                <w:color w:val="000000" w:themeColor="dark1"/>
                <w:kern w:val="24"/>
                <w:sz w:val="18"/>
                <w:szCs w:val="18"/>
                <w:lang w:val="en-US" w:eastAsia="it-IT"/>
              </w:rPr>
              <w:t>Common alerts: Organic Peroxy Compounds and H-acceptor-path3-H-accepto</w:t>
            </w:r>
            <w:r>
              <w:rPr>
                <w:rFonts w:eastAsia="Times New Roman" w:cs="Arial"/>
                <w:color w:val="000000" w:themeColor="dark1"/>
                <w:kern w:val="24"/>
                <w:sz w:val="18"/>
                <w:szCs w:val="18"/>
                <w:lang w:val="en-US" w:eastAsia="it-IT"/>
              </w:rPr>
              <w:t>r</w:t>
            </w:r>
          </w:p>
          <w:p w14:paraId="328D21C4" w14:textId="77777777" w:rsidR="00385F44" w:rsidRDefault="006744EF"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744EF">
              <w:rPr>
                <w:rFonts w:eastAsia="Times New Roman" w:cs="Arial"/>
                <w:color w:val="000000" w:themeColor="dark1"/>
                <w:kern w:val="24"/>
                <w:sz w:val="18"/>
                <w:szCs w:val="18"/>
                <w:lang w:val="en-US" w:eastAsia="it-IT"/>
              </w:rPr>
              <w:t>Reliable negative predictions for both cluster members</w:t>
            </w:r>
          </w:p>
          <w:p w14:paraId="39133952" w14:textId="77777777" w:rsidR="006744EF" w:rsidRDefault="006744EF" w:rsidP="006744EF">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 xml:space="preserve">Remarks/Implications: No need for </w:t>
            </w:r>
            <w:r w:rsidRPr="006744EF">
              <w:rPr>
                <w:rFonts w:eastAsia="Times New Roman" w:cs="Arial"/>
                <w:color w:val="000000" w:themeColor="dark1"/>
                <w:kern w:val="24"/>
                <w:sz w:val="18"/>
                <w:szCs w:val="18"/>
                <w:lang w:val="en-US" w:eastAsia="it-IT"/>
              </w:rPr>
              <w:t>further assessment of Cluster 6 members</w:t>
            </w:r>
          </w:p>
          <w:p w14:paraId="1B921D67" w14:textId="37397AE4" w:rsidR="000F7379" w:rsidRPr="006744EF" w:rsidRDefault="000F7379" w:rsidP="000F7379">
            <w:pPr>
              <w:pStyle w:val="Paragrafoelenco"/>
              <w:ind w:left="177"/>
              <w:textAlignment w:val="center"/>
              <w:rPr>
                <w:rFonts w:eastAsia="Times New Roman" w:cs="Arial"/>
                <w:color w:val="000000" w:themeColor="dark1"/>
                <w:kern w:val="24"/>
                <w:sz w:val="18"/>
                <w:szCs w:val="18"/>
                <w:lang w:val="en-US" w:eastAsia="it-IT"/>
              </w:rPr>
            </w:pPr>
          </w:p>
        </w:tc>
      </w:tr>
      <w:tr w:rsidR="000F7379" w:rsidRPr="007C7619" w14:paraId="68856098" w14:textId="77777777" w:rsidTr="00CF688A">
        <w:trPr>
          <w:trHeight w:val="363"/>
        </w:trPr>
        <w:tc>
          <w:tcPr>
            <w:tcW w:w="416" w:type="pct"/>
          </w:tcPr>
          <w:p w14:paraId="068A8338" w14:textId="7A8D46A7" w:rsidR="000F7379" w:rsidRPr="00385F44" w:rsidRDefault="000F7379" w:rsidP="00385F44">
            <w:pPr>
              <w:jc w:val="center"/>
              <w:textAlignment w:val="center"/>
              <w:rPr>
                <w:rFonts w:eastAsia="Times New Roman" w:hAnsi="Calibri" w:cs="Arial"/>
                <w:color w:val="000000" w:themeColor="dark1"/>
                <w:kern w:val="24"/>
                <w:sz w:val="18"/>
                <w:szCs w:val="18"/>
                <w:lang w:eastAsia="it-IT"/>
              </w:rPr>
            </w:pPr>
            <w:r w:rsidRPr="000F7379">
              <w:rPr>
                <w:rFonts w:eastAsia="Times New Roman" w:hAnsi="Calibri" w:cs="Arial"/>
                <w:color w:val="auto"/>
                <w:kern w:val="24"/>
                <w:sz w:val="18"/>
                <w:szCs w:val="18"/>
                <w:lang w:eastAsia="it-IT"/>
              </w:rPr>
              <w:t>7</w:t>
            </w:r>
          </w:p>
        </w:tc>
        <w:tc>
          <w:tcPr>
            <w:tcW w:w="1222" w:type="pct"/>
          </w:tcPr>
          <w:p w14:paraId="0AD8A11C" w14:textId="3AEAD92E" w:rsidR="000F7379" w:rsidRPr="000F7379" w:rsidRDefault="000F7379" w:rsidP="00385F44">
            <w:pPr>
              <w:textAlignment w:val="center"/>
              <w:rPr>
                <w:rFonts w:ascii="Calibri" w:eastAsia="Times New Roman" w:hAnsi="Calibri" w:cs="Arial"/>
                <w:color w:val="000000" w:themeColor="dark1"/>
                <w:kern w:val="24"/>
                <w:sz w:val="18"/>
                <w:szCs w:val="18"/>
                <w:lang w:val="en-US" w:eastAsia="it-IT"/>
              </w:rPr>
            </w:pPr>
            <w:r w:rsidRPr="000F7379">
              <w:rPr>
                <w:rFonts w:ascii="Calibri" w:eastAsia="Times New Roman" w:hAnsi="Calibri" w:cs="Arial"/>
                <w:bCs/>
                <w:color w:val="auto"/>
                <w:kern w:val="24"/>
                <w:sz w:val="18"/>
                <w:szCs w:val="18"/>
                <w:lang w:val="de-DE" w:eastAsia="it-IT"/>
              </w:rPr>
              <w:t>alb_05, alb_09, alb_12, alb_13, alb_14, mtr_25</w:t>
            </w:r>
          </w:p>
        </w:tc>
        <w:tc>
          <w:tcPr>
            <w:tcW w:w="288" w:type="pct"/>
          </w:tcPr>
          <w:p w14:paraId="33A977A1" w14:textId="6477FAFA" w:rsidR="000F7379" w:rsidRPr="000F7379" w:rsidRDefault="000F7379" w:rsidP="00385F44">
            <w:pPr>
              <w:jc w:val="center"/>
              <w:textAlignment w:val="center"/>
              <w:rPr>
                <w:rFonts w:ascii="Calibri" w:eastAsia="Times New Roman" w:hAnsi="Calibri" w:cs="Arial"/>
                <w:color w:val="000000" w:themeColor="dark1"/>
                <w:kern w:val="24"/>
                <w:sz w:val="18"/>
                <w:szCs w:val="18"/>
                <w:lang w:val="en-US" w:eastAsia="it-IT"/>
              </w:rPr>
            </w:pPr>
            <w:r w:rsidRPr="000F7379">
              <w:rPr>
                <w:rFonts w:ascii="Calibri" w:eastAsia="Times New Roman" w:hAnsi="Calibri" w:cs="Arial"/>
                <w:bCs/>
                <w:color w:val="auto"/>
                <w:kern w:val="24"/>
                <w:sz w:val="18"/>
                <w:szCs w:val="18"/>
                <w:lang w:eastAsia="it-IT"/>
              </w:rPr>
              <w:t>6</w:t>
            </w:r>
          </w:p>
        </w:tc>
        <w:tc>
          <w:tcPr>
            <w:tcW w:w="3075" w:type="pct"/>
          </w:tcPr>
          <w:p w14:paraId="78307B0F" w14:textId="230F1E33" w:rsidR="00820B6E" w:rsidRPr="000F7379" w:rsidRDefault="00F029FC" w:rsidP="000F7379">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F7379">
              <w:rPr>
                <w:rFonts w:eastAsia="Times New Roman" w:cs="Arial"/>
                <w:color w:val="000000" w:themeColor="dark1"/>
                <w:kern w:val="24"/>
                <w:sz w:val="18"/>
                <w:szCs w:val="18"/>
                <w:lang w:val="en-US" w:eastAsia="it-IT"/>
              </w:rPr>
              <w:t>Two SOA class</w:t>
            </w:r>
            <w:r w:rsidR="000F7379" w:rsidRPr="000F7379">
              <w:rPr>
                <w:rFonts w:eastAsia="Times New Roman" w:cs="Arial"/>
                <w:color w:val="000000" w:themeColor="dark1"/>
                <w:kern w:val="24"/>
                <w:sz w:val="18"/>
                <w:szCs w:val="18"/>
                <w:lang w:val="en-US" w:eastAsia="it-IT"/>
              </w:rPr>
              <w:t>es</w:t>
            </w:r>
            <w:r w:rsidRPr="000F7379">
              <w:rPr>
                <w:rFonts w:eastAsia="Times New Roman" w:cs="Arial"/>
                <w:color w:val="000000" w:themeColor="dark1"/>
                <w:kern w:val="24"/>
                <w:sz w:val="18"/>
                <w:szCs w:val="18"/>
                <w:lang w:val="en-US" w:eastAsia="it-IT"/>
              </w:rPr>
              <w:t>: Alkylbenzene, Monoterpene</w:t>
            </w:r>
          </w:p>
          <w:p w14:paraId="76EDE01D" w14:textId="0C6AF12A" w:rsidR="00820B6E" w:rsidRPr="000F7379" w:rsidRDefault="00F029FC" w:rsidP="000F7379">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0F7379">
              <w:rPr>
                <w:rFonts w:eastAsia="Times New Roman" w:cs="Arial"/>
                <w:color w:val="000000" w:themeColor="dark1"/>
                <w:kern w:val="24"/>
                <w:sz w:val="18"/>
                <w:szCs w:val="18"/>
                <w:lang w:eastAsia="it-IT"/>
              </w:rPr>
              <w:t>Different MoAs</w:t>
            </w:r>
            <w:r w:rsidR="000F7379">
              <w:rPr>
                <w:rFonts w:eastAsia="Times New Roman" w:cs="Arial"/>
                <w:color w:val="000000" w:themeColor="dark1"/>
                <w:kern w:val="24"/>
                <w:sz w:val="18"/>
                <w:szCs w:val="18"/>
                <w:lang w:eastAsia="it-IT"/>
              </w:rPr>
              <w:t xml:space="preserve"> for genotoxicity</w:t>
            </w:r>
          </w:p>
          <w:p w14:paraId="2FA8DA8C" w14:textId="48A033D7" w:rsidR="00820B6E" w:rsidRPr="00694789" w:rsidRDefault="00F029FC" w:rsidP="000F7379">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94789">
              <w:rPr>
                <w:rFonts w:eastAsia="Times New Roman" w:cs="Arial"/>
                <w:color w:val="000000" w:themeColor="dark1"/>
                <w:kern w:val="24"/>
                <w:sz w:val="18"/>
                <w:szCs w:val="18"/>
                <w:lang w:val="en-US" w:eastAsia="it-IT"/>
              </w:rPr>
              <w:t>Common Alerts: H-acceptor-path3-H-acceptor</w:t>
            </w:r>
            <w:r w:rsidR="00694789" w:rsidRPr="00694789">
              <w:rPr>
                <w:rFonts w:eastAsia="Times New Roman" w:cs="Arial"/>
                <w:color w:val="000000" w:themeColor="dark1"/>
                <w:kern w:val="24"/>
                <w:sz w:val="18"/>
                <w:szCs w:val="18"/>
                <w:lang w:val="en-US" w:eastAsia="it-IT"/>
              </w:rPr>
              <w:t xml:space="preserve">, </w:t>
            </w:r>
            <w:r w:rsidRPr="00694789">
              <w:rPr>
                <w:rFonts w:eastAsia="Times New Roman" w:cs="Arial"/>
                <w:color w:val="000000" w:themeColor="dark1"/>
                <w:kern w:val="24"/>
                <w:sz w:val="18"/>
                <w:szCs w:val="18"/>
                <w:lang w:val="en-US" w:eastAsia="it-IT"/>
              </w:rPr>
              <w:t>Carbonyl group</w:t>
            </w:r>
            <w:r w:rsidR="00694789" w:rsidRPr="00694789">
              <w:rPr>
                <w:rFonts w:eastAsia="Times New Roman" w:cs="Arial"/>
                <w:color w:val="000000" w:themeColor="dark1"/>
                <w:kern w:val="24"/>
                <w:sz w:val="18"/>
                <w:szCs w:val="18"/>
                <w:lang w:val="en-US" w:eastAsia="it-IT"/>
              </w:rPr>
              <w:t>,</w:t>
            </w:r>
            <w:r w:rsidR="00694789">
              <w:rPr>
                <w:rFonts w:eastAsia="Times New Roman" w:cs="Arial"/>
                <w:color w:val="000000" w:themeColor="dark1"/>
                <w:kern w:val="24"/>
                <w:sz w:val="18"/>
                <w:szCs w:val="18"/>
                <w:lang w:val="en-US" w:eastAsia="it-IT"/>
              </w:rPr>
              <w:t xml:space="preserve"> </w:t>
            </w:r>
            <w:r w:rsidRPr="00694789">
              <w:rPr>
                <w:rFonts w:eastAsia="Times New Roman" w:cs="Arial"/>
                <w:color w:val="000000" w:themeColor="dark1"/>
                <w:kern w:val="24"/>
                <w:sz w:val="18"/>
                <w:szCs w:val="18"/>
                <w:lang w:val="en-US" w:eastAsia="it-IT"/>
              </w:rPr>
              <w:t xml:space="preserve">Epoxide and/or </w:t>
            </w:r>
            <w:r w:rsidRPr="00694789">
              <w:rPr>
                <w:rFonts w:eastAsia="Times New Roman" w:cs="Arial"/>
                <w:color w:val="000000" w:themeColor="dark1"/>
                <w:kern w:val="24"/>
                <w:sz w:val="18"/>
                <w:szCs w:val="18"/>
                <w:lang w:val="en-GB" w:eastAsia="it-IT"/>
              </w:rPr>
              <w:t>Organic Peroxy Compounds</w:t>
            </w:r>
          </w:p>
          <w:p w14:paraId="7BD4FD55" w14:textId="77777777" w:rsidR="00820B6E" w:rsidRPr="000F7379" w:rsidRDefault="00F029FC" w:rsidP="000F7379">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0F7379">
              <w:rPr>
                <w:rFonts w:eastAsia="Times New Roman" w:cs="Arial"/>
                <w:color w:val="000000" w:themeColor="dark1"/>
                <w:kern w:val="24"/>
                <w:sz w:val="18"/>
                <w:szCs w:val="18"/>
                <w:lang w:val="en-US" w:eastAsia="it-IT"/>
              </w:rPr>
              <w:t>Reliable positive genotoxicity predictions for all cluster members</w:t>
            </w:r>
          </w:p>
          <w:p w14:paraId="03FE0829" w14:textId="605D70D7" w:rsidR="00694789" w:rsidRDefault="00694789" w:rsidP="00694789">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 xml:space="preserve">Remarks/Implications: No need for </w:t>
            </w:r>
            <w:r w:rsidRPr="006744EF">
              <w:rPr>
                <w:rFonts w:eastAsia="Times New Roman" w:cs="Arial"/>
                <w:color w:val="000000" w:themeColor="dark1"/>
                <w:kern w:val="24"/>
                <w:sz w:val="18"/>
                <w:szCs w:val="18"/>
                <w:lang w:val="en-US" w:eastAsia="it-IT"/>
              </w:rPr>
              <w:t xml:space="preserve">further assessment of Cluster </w:t>
            </w:r>
            <w:r>
              <w:rPr>
                <w:rFonts w:eastAsia="Times New Roman" w:cs="Arial"/>
                <w:color w:val="000000" w:themeColor="dark1"/>
                <w:kern w:val="24"/>
                <w:sz w:val="18"/>
                <w:szCs w:val="18"/>
                <w:lang w:val="en-US" w:eastAsia="it-IT"/>
              </w:rPr>
              <w:t>7</w:t>
            </w:r>
            <w:r w:rsidRPr="006744EF">
              <w:rPr>
                <w:rFonts w:eastAsia="Times New Roman" w:cs="Arial"/>
                <w:color w:val="000000" w:themeColor="dark1"/>
                <w:kern w:val="24"/>
                <w:sz w:val="18"/>
                <w:szCs w:val="18"/>
                <w:lang w:val="en-US" w:eastAsia="it-IT"/>
              </w:rPr>
              <w:t xml:space="preserve"> members</w:t>
            </w:r>
          </w:p>
          <w:p w14:paraId="075F27C5" w14:textId="77777777" w:rsidR="000F7379" w:rsidRPr="006744EF" w:rsidRDefault="000F7379" w:rsidP="00694789">
            <w:pPr>
              <w:pStyle w:val="Paragrafoelenco"/>
              <w:ind w:left="177"/>
              <w:textAlignment w:val="center"/>
              <w:rPr>
                <w:rFonts w:eastAsia="Times New Roman" w:cs="Arial"/>
                <w:color w:val="000000" w:themeColor="dark1"/>
                <w:kern w:val="24"/>
                <w:sz w:val="18"/>
                <w:szCs w:val="18"/>
                <w:lang w:val="en-US" w:eastAsia="it-IT"/>
              </w:rPr>
            </w:pPr>
          </w:p>
        </w:tc>
      </w:tr>
      <w:tr w:rsidR="000F7379" w:rsidRPr="007C7619" w14:paraId="5B9AA590" w14:textId="77777777" w:rsidTr="00CF688A">
        <w:trPr>
          <w:trHeight w:val="363"/>
        </w:trPr>
        <w:tc>
          <w:tcPr>
            <w:tcW w:w="416" w:type="pct"/>
          </w:tcPr>
          <w:p w14:paraId="5E71614F" w14:textId="082C2C91" w:rsidR="000F7379" w:rsidRPr="000F7379" w:rsidRDefault="000F7379" w:rsidP="00385F44">
            <w:pPr>
              <w:jc w:val="center"/>
              <w:textAlignment w:val="center"/>
              <w:rPr>
                <w:rFonts w:eastAsia="Times New Roman" w:hAnsi="Calibri" w:cs="Arial"/>
                <w:color w:val="000000" w:themeColor="dark1"/>
                <w:kern w:val="24"/>
                <w:sz w:val="18"/>
                <w:szCs w:val="18"/>
                <w:lang w:val="en-US" w:eastAsia="it-IT"/>
              </w:rPr>
            </w:pPr>
            <w:r w:rsidRPr="000F7379">
              <w:rPr>
                <w:rFonts w:eastAsia="Times New Roman" w:hAnsi="Calibri" w:cs="Arial"/>
                <w:color w:val="000000" w:themeColor="dark1"/>
                <w:kern w:val="24"/>
                <w:sz w:val="18"/>
                <w:szCs w:val="18"/>
                <w:lang w:eastAsia="it-IT"/>
              </w:rPr>
              <w:t>8</w:t>
            </w:r>
          </w:p>
        </w:tc>
        <w:tc>
          <w:tcPr>
            <w:tcW w:w="1222" w:type="pct"/>
          </w:tcPr>
          <w:p w14:paraId="3EAEE9F1" w14:textId="73D8FEAF" w:rsidR="000F7379" w:rsidRPr="000F7379" w:rsidRDefault="000F7379" w:rsidP="00385F44">
            <w:pPr>
              <w:textAlignment w:val="center"/>
              <w:rPr>
                <w:rFonts w:ascii="Calibri" w:eastAsia="Times New Roman" w:hAnsi="Calibri" w:cs="Arial"/>
                <w:color w:val="000000" w:themeColor="dark1"/>
                <w:kern w:val="24"/>
                <w:sz w:val="18"/>
                <w:szCs w:val="18"/>
                <w:lang w:val="en-US" w:eastAsia="it-IT"/>
              </w:rPr>
            </w:pPr>
            <w:r w:rsidRPr="000F7379">
              <w:rPr>
                <w:rFonts w:ascii="Calibri" w:eastAsia="Times New Roman" w:hAnsi="Calibri" w:cs="Arial"/>
                <w:color w:val="000000" w:themeColor="dark1"/>
                <w:kern w:val="24"/>
                <w:sz w:val="18"/>
                <w:szCs w:val="18"/>
                <w:lang w:val="en-US" w:eastAsia="it-IT"/>
              </w:rPr>
              <w:t>alb_06, alb_08, alb_10, alb_11</w:t>
            </w:r>
            <w:r w:rsidR="00AB50BD">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alb_16, ken_01, ken_02</w:t>
            </w:r>
            <w:r w:rsidR="00AB50BD">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ken_03</w:t>
            </w:r>
            <w:r w:rsidR="00AB50BD">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mtr_03, mtr_21, mtr_22</w:t>
            </w:r>
            <w:r w:rsidR="00AB50BD">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mtr_23, mtr_24</w:t>
            </w:r>
          </w:p>
        </w:tc>
        <w:tc>
          <w:tcPr>
            <w:tcW w:w="288" w:type="pct"/>
          </w:tcPr>
          <w:p w14:paraId="57519F03" w14:textId="77777777" w:rsidR="000F7379" w:rsidRPr="000F7379" w:rsidRDefault="000F7379" w:rsidP="00385F44">
            <w:pPr>
              <w:jc w:val="center"/>
              <w:textAlignment w:val="center"/>
              <w:rPr>
                <w:rFonts w:ascii="Calibri" w:eastAsia="Times New Roman" w:hAnsi="Calibri" w:cs="Arial"/>
                <w:color w:val="000000" w:themeColor="dark1"/>
                <w:kern w:val="24"/>
                <w:sz w:val="18"/>
                <w:szCs w:val="18"/>
                <w:lang w:val="en-US" w:eastAsia="it-IT"/>
              </w:rPr>
            </w:pPr>
          </w:p>
        </w:tc>
        <w:tc>
          <w:tcPr>
            <w:tcW w:w="3075" w:type="pct"/>
          </w:tcPr>
          <w:p w14:paraId="198312E3" w14:textId="2BB622F6" w:rsidR="00820B6E" w:rsidRPr="00AB50BD" w:rsidRDefault="00F029FC" w:rsidP="00AB50B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AB50BD">
              <w:rPr>
                <w:rFonts w:eastAsia="Times New Roman" w:cs="Arial"/>
                <w:color w:val="000000" w:themeColor="dark1"/>
                <w:kern w:val="24"/>
                <w:sz w:val="18"/>
                <w:szCs w:val="18"/>
                <w:lang w:val="en-US" w:eastAsia="it-IT"/>
              </w:rPr>
              <w:t>Three SOA class</w:t>
            </w:r>
            <w:r w:rsidR="00AB50BD">
              <w:rPr>
                <w:rFonts w:eastAsia="Times New Roman" w:cs="Arial"/>
                <w:color w:val="000000" w:themeColor="dark1"/>
                <w:kern w:val="24"/>
                <w:sz w:val="18"/>
                <w:szCs w:val="18"/>
                <w:lang w:val="en-US" w:eastAsia="it-IT"/>
              </w:rPr>
              <w:t>es</w:t>
            </w:r>
            <w:r w:rsidRPr="00AB50BD">
              <w:rPr>
                <w:rFonts w:eastAsia="Times New Roman" w:cs="Arial"/>
                <w:color w:val="000000" w:themeColor="dark1"/>
                <w:kern w:val="24"/>
                <w:sz w:val="18"/>
                <w:szCs w:val="18"/>
                <w:lang w:val="en-US" w:eastAsia="it-IT"/>
              </w:rPr>
              <w:t>: Alkylbenzene, Monoterpene, Alkenes ozonolysis</w:t>
            </w:r>
          </w:p>
          <w:p w14:paraId="547853B3" w14:textId="5ECD0326" w:rsidR="00820B6E" w:rsidRPr="00AB50BD" w:rsidRDefault="00F029FC" w:rsidP="00AB50BD">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AB50BD">
              <w:rPr>
                <w:rFonts w:eastAsia="Times New Roman" w:cs="Arial"/>
                <w:color w:val="000000" w:themeColor="dark1"/>
                <w:kern w:val="24"/>
                <w:sz w:val="18"/>
                <w:szCs w:val="18"/>
                <w:lang w:eastAsia="it-IT"/>
              </w:rPr>
              <w:t>Different MoAs</w:t>
            </w:r>
            <w:r w:rsidR="00AB50BD">
              <w:rPr>
                <w:rFonts w:eastAsia="Times New Roman" w:cs="Arial"/>
                <w:color w:val="000000" w:themeColor="dark1"/>
                <w:kern w:val="24"/>
                <w:sz w:val="18"/>
                <w:szCs w:val="18"/>
                <w:lang w:eastAsia="it-IT"/>
              </w:rPr>
              <w:t xml:space="preserve"> for genotoxicity</w:t>
            </w:r>
          </w:p>
          <w:p w14:paraId="6A9ACDD0" w14:textId="61AAF270" w:rsidR="00820B6E" w:rsidRPr="00AB50BD" w:rsidRDefault="00F029FC" w:rsidP="00AB50B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AB50BD">
              <w:rPr>
                <w:rFonts w:eastAsia="Times New Roman" w:cs="Arial"/>
                <w:color w:val="000000" w:themeColor="dark1"/>
                <w:kern w:val="24"/>
                <w:sz w:val="18"/>
                <w:szCs w:val="18"/>
                <w:lang w:val="en-US" w:eastAsia="it-IT"/>
              </w:rPr>
              <w:t>Alerts: H-acceptor-path3-H-acceptor (all)</w:t>
            </w:r>
            <w:r w:rsidR="00AB50BD" w:rsidRPr="00AB50BD">
              <w:rPr>
                <w:rFonts w:eastAsia="Times New Roman" w:cs="Arial"/>
                <w:color w:val="000000" w:themeColor="dark1"/>
                <w:kern w:val="24"/>
                <w:sz w:val="18"/>
                <w:szCs w:val="18"/>
                <w:lang w:val="en-US" w:eastAsia="it-IT"/>
              </w:rPr>
              <w:t xml:space="preserve">, </w:t>
            </w:r>
            <w:r w:rsidRPr="00AB50BD">
              <w:rPr>
                <w:rFonts w:eastAsia="Times New Roman" w:cs="Arial"/>
                <w:color w:val="000000" w:themeColor="dark1"/>
                <w:kern w:val="24"/>
                <w:sz w:val="18"/>
                <w:szCs w:val="18"/>
                <w:lang w:val="en-US" w:eastAsia="it-IT"/>
              </w:rPr>
              <w:t>Peroxy compound (except alb_16)</w:t>
            </w:r>
            <w:r w:rsidR="00AB50BD" w:rsidRPr="00AB50BD">
              <w:rPr>
                <w:rFonts w:eastAsia="Times New Roman" w:cs="Arial"/>
                <w:color w:val="000000" w:themeColor="dark1"/>
                <w:kern w:val="24"/>
                <w:sz w:val="18"/>
                <w:szCs w:val="18"/>
                <w:lang w:val="en-US" w:eastAsia="it-IT"/>
              </w:rPr>
              <w:t xml:space="preserve">, </w:t>
            </w:r>
            <w:r w:rsidRPr="00AB50BD">
              <w:rPr>
                <w:rFonts w:eastAsia="Times New Roman" w:cs="Arial"/>
                <w:color w:val="000000" w:themeColor="dark1"/>
                <w:kern w:val="24"/>
                <w:sz w:val="18"/>
                <w:szCs w:val="18"/>
                <w:lang w:val="en-US" w:eastAsia="it-IT"/>
              </w:rPr>
              <w:t>Carbonyl group (except alb_10, alb_11, alb_08, ken_01, mtr_23)</w:t>
            </w:r>
            <w:r w:rsidR="00AB50BD" w:rsidRPr="00AB50BD">
              <w:rPr>
                <w:rFonts w:eastAsia="Times New Roman" w:cs="Arial"/>
                <w:color w:val="000000" w:themeColor="dark1"/>
                <w:kern w:val="24"/>
                <w:sz w:val="18"/>
                <w:szCs w:val="18"/>
                <w:lang w:val="en-US" w:eastAsia="it-IT"/>
              </w:rPr>
              <w:t xml:space="preserve">, </w:t>
            </w:r>
            <w:r w:rsidRPr="00AB50BD">
              <w:rPr>
                <w:rFonts w:eastAsia="Times New Roman" w:cs="Arial"/>
                <w:color w:val="000000" w:themeColor="dark1"/>
                <w:kern w:val="24"/>
                <w:sz w:val="18"/>
                <w:szCs w:val="18"/>
                <w:lang w:val="en-US" w:eastAsia="it-IT"/>
              </w:rPr>
              <w:t>Four- and Five-Membered Lactones AND Oxolane (only alb_10, alb_11)</w:t>
            </w:r>
          </w:p>
          <w:p w14:paraId="4FD69747" w14:textId="77777777" w:rsidR="00820B6E" w:rsidRDefault="00F029FC" w:rsidP="00AB50BD">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AB50BD">
              <w:rPr>
                <w:rFonts w:eastAsia="Times New Roman" w:cs="Arial"/>
                <w:color w:val="000000" w:themeColor="dark1"/>
                <w:kern w:val="24"/>
                <w:sz w:val="18"/>
                <w:szCs w:val="18"/>
                <w:lang w:eastAsia="it-IT"/>
              </w:rPr>
              <w:t>Genotoxicity predictions: positive/negative/indeterminate</w:t>
            </w:r>
          </w:p>
          <w:p w14:paraId="62216BD7" w14:textId="77777777" w:rsidR="000F7379" w:rsidRDefault="00AB50BD" w:rsidP="00AB50BD">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Remarks/Implications:</w:t>
            </w:r>
            <w:r w:rsidRPr="00AB50BD">
              <w:rPr>
                <w:rFonts w:eastAsia="Times New Roman" w:cs="Arial"/>
                <w:color w:val="000000" w:themeColor="dark1"/>
                <w:kern w:val="24"/>
                <w:sz w:val="18"/>
                <w:szCs w:val="18"/>
                <w:lang w:val="en-US" w:eastAsia="it-IT"/>
              </w:rPr>
              <w:t xml:space="preserve"> Need for experimental data for indeterminate predictions</w:t>
            </w:r>
            <w:r>
              <w:rPr>
                <w:rFonts w:eastAsia="Times New Roman" w:cs="Arial"/>
                <w:color w:val="000000" w:themeColor="dark1"/>
                <w:kern w:val="24"/>
                <w:sz w:val="18"/>
                <w:szCs w:val="18"/>
                <w:lang w:val="en-US" w:eastAsia="it-IT"/>
              </w:rPr>
              <w:t xml:space="preserve"> (*)</w:t>
            </w:r>
          </w:p>
          <w:p w14:paraId="714E1579" w14:textId="66AF858C" w:rsidR="00B50DBE" w:rsidRPr="006744EF" w:rsidRDefault="00B50DBE" w:rsidP="00B50DBE">
            <w:pPr>
              <w:pStyle w:val="Paragrafoelenco"/>
              <w:ind w:left="177"/>
              <w:textAlignment w:val="center"/>
              <w:rPr>
                <w:rFonts w:eastAsia="Times New Roman" w:cs="Arial"/>
                <w:color w:val="000000" w:themeColor="dark1"/>
                <w:kern w:val="24"/>
                <w:sz w:val="18"/>
                <w:szCs w:val="18"/>
                <w:lang w:val="en-US" w:eastAsia="it-IT"/>
              </w:rPr>
            </w:pPr>
          </w:p>
        </w:tc>
      </w:tr>
      <w:tr w:rsidR="000F7379" w:rsidRPr="007C7619" w14:paraId="5AEE77E8" w14:textId="77777777" w:rsidTr="00CF688A">
        <w:trPr>
          <w:trHeight w:val="363"/>
        </w:trPr>
        <w:tc>
          <w:tcPr>
            <w:tcW w:w="416" w:type="pct"/>
          </w:tcPr>
          <w:p w14:paraId="2C0981EB" w14:textId="727F559D" w:rsidR="000F7379" w:rsidRPr="000F7379" w:rsidRDefault="00B50DBE" w:rsidP="00385F44">
            <w:pPr>
              <w:jc w:val="center"/>
              <w:textAlignment w:val="center"/>
              <w:rPr>
                <w:rFonts w:eastAsia="Times New Roman" w:hAnsi="Calibri" w:cs="Arial"/>
                <w:color w:val="000000" w:themeColor="dark1"/>
                <w:kern w:val="24"/>
                <w:sz w:val="18"/>
                <w:szCs w:val="18"/>
                <w:lang w:val="en-US" w:eastAsia="it-IT"/>
              </w:rPr>
            </w:pPr>
            <w:r>
              <w:rPr>
                <w:rFonts w:eastAsia="Times New Roman" w:hAnsi="Calibri" w:cs="Arial"/>
                <w:color w:val="000000" w:themeColor="dark1"/>
                <w:kern w:val="24"/>
                <w:sz w:val="18"/>
                <w:szCs w:val="18"/>
                <w:lang w:val="en-US" w:eastAsia="it-IT"/>
              </w:rPr>
              <w:t>9_0</w:t>
            </w:r>
          </w:p>
        </w:tc>
        <w:tc>
          <w:tcPr>
            <w:tcW w:w="1222" w:type="pct"/>
          </w:tcPr>
          <w:p w14:paraId="03C9EA3E" w14:textId="69796E0A" w:rsidR="000F7379" w:rsidRPr="000F7379" w:rsidRDefault="00B50DBE" w:rsidP="00385F44">
            <w:pPr>
              <w:textAlignment w:val="center"/>
              <w:rPr>
                <w:rFonts w:ascii="Calibri" w:eastAsia="Times New Roman" w:hAnsi="Calibri" w:cs="Arial"/>
                <w:color w:val="000000" w:themeColor="dark1"/>
                <w:kern w:val="24"/>
                <w:sz w:val="18"/>
                <w:szCs w:val="18"/>
                <w:lang w:val="en-US" w:eastAsia="it-IT"/>
              </w:rPr>
            </w:pPr>
            <w:r w:rsidRPr="00B50DBE">
              <w:rPr>
                <w:rFonts w:ascii="Calibri" w:eastAsia="Times New Roman" w:hAnsi="Calibri" w:cs="Arial"/>
                <w:color w:val="000000" w:themeColor="dark1"/>
                <w:kern w:val="24"/>
                <w:sz w:val="18"/>
                <w:szCs w:val="18"/>
                <w:lang w:val="en-US" w:eastAsia="it-IT"/>
              </w:rPr>
              <w:t>mtr_15, mtr_16</w:t>
            </w:r>
          </w:p>
        </w:tc>
        <w:tc>
          <w:tcPr>
            <w:tcW w:w="288" w:type="pct"/>
          </w:tcPr>
          <w:p w14:paraId="742C0624" w14:textId="1A045C07" w:rsidR="000F7379" w:rsidRPr="000F7379" w:rsidRDefault="00B50DBE" w:rsidP="00385F44">
            <w:pPr>
              <w:jc w:val="center"/>
              <w:textAlignment w:val="center"/>
              <w:rPr>
                <w:rFonts w:ascii="Calibri" w:eastAsia="Times New Roman" w:hAnsi="Calibri" w:cs="Arial"/>
                <w:color w:val="000000" w:themeColor="dark1"/>
                <w:kern w:val="24"/>
                <w:sz w:val="18"/>
                <w:szCs w:val="18"/>
                <w:lang w:val="en-US" w:eastAsia="it-IT"/>
              </w:rPr>
            </w:pPr>
            <w:r>
              <w:rPr>
                <w:rFonts w:ascii="Calibri" w:eastAsia="Times New Roman" w:hAnsi="Calibri" w:cs="Arial"/>
                <w:color w:val="000000" w:themeColor="dark1"/>
                <w:kern w:val="24"/>
                <w:sz w:val="18"/>
                <w:szCs w:val="18"/>
                <w:lang w:val="en-US" w:eastAsia="it-IT"/>
              </w:rPr>
              <w:t>2</w:t>
            </w:r>
          </w:p>
        </w:tc>
        <w:tc>
          <w:tcPr>
            <w:tcW w:w="3075" w:type="pct"/>
          </w:tcPr>
          <w:p w14:paraId="01EE1321" w14:textId="26361D08" w:rsidR="00820B6E" w:rsidRPr="00B50DBE" w:rsidRDefault="00F029FC" w:rsidP="00B50DBE">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B50DBE">
              <w:rPr>
                <w:rFonts w:eastAsia="Times New Roman" w:cs="Arial"/>
                <w:color w:val="000000" w:themeColor="dark1"/>
                <w:kern w:val="24"/>
                <w:sz w:val="18"/>
                <w:szCs w:val="18"/>
                <w:lang w:eastAsia="it-IT"/>
              </w:rPr>
              <w:t>Same SOA class:</w:t>
            </w:r>
            <w:r w:rsidR="00B50DBE">
              <w:rPr>
                <w:rFonts w:eastAsia="Times New Roman" w:cs="Arial"/>
                <w:color w:val="000000" w:themeColor="dark1"/>
                <w:kern w:val="24"/>
                <w:sz w:val="18"/>
                <w:szCs w:val="18"/>
                <w:lang w:eastAsia="it-IT"/>
              </w:rPr>
              <w:t xml:space="preserve"> </w:t>
            </w:r>
            <w:r w:rsidRPr="00B50DBE">
              <w:rPr>
                <w:rFonts w:eastAsia="Times New Roman" w:cs="Arial"/>
                <w:color w:val="000000" w:themeColor="dark1"/>
                <w:kern w:val="24"/>
                <w:sz w:val="18"/>
                <w:szCs w:val="18"/>
                <w:lang w:eastAsia="it-IT"/>
              </w:rPr>
              <w:t>Monoterpene</w:t>
            </w:r>
          </w:p>
          <w:p w14:paraId="0494BBED" w14:textId="7D2C02EC" w:rsidR="00820B6E" w:rsidRPr="00B50DBE" w:rsidRDefault="00F029FC" w:rsidP="00B50DBE">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50DBE">
              <w:rPr>
                <w:rFonts w:eastAsia="Times New Roman" w:cs="Arial"/>
                <w:color w:val="000000" w:themeColor="dark1"/>
                <w:kern w:val="24"/>
                <w:sz w:val="18"/>
                <w:szCs w:val="18"/>
                <w:lang w:val="en-US" w:eastAsia="it-IT"/>
              </w:rPr>
              <w:t>Same alert:</w:t>
            </w:r>
            <w:r w:rsidR="00B50DBE" w:rsidRPr="00B50DBE">
              <w:rPr>
                <w:rFonts w:eastAsia="Times New Roman" w:cs="Arial"/>
                <w:color w:val="000000" w:themeColor="dark1"/>
                <w:kern w:val="24"/>
                <w:sz w:val="18"/>
                <w:szCs w:val="18"/>
                <w:lang w:val="en-US" w:eastAsia="it-IT"/>
              </w:rPr>
              <w:t xml:space="preserve"> </w:t>
            </w:r>
            <w:r w:rsidRPr="00B50DBE">
              <w:rPr>
                <w:rFonts w:eastAsia="Times New Roman" w:cs="Arial"/>
                <w:color w:val="000000" w:themeColor="dark1"/>
                <w:kern w:val="24"/>
                <w:sz w:val="18"/>
                <w:szCs w:val="18"/>
                <w:lang w:val="en-US" w:eastAsia="it-IT"/>
              </w:rPr>
              <w:t>H-acceptor-path3-H-acceptor</w:t>
            </w:r>
          </w:p>
          <w:p w14:paraId="58FA1E68" w14:textId="77777777" w:rsidR="00820B6E" w:rsidRDefault="00F029FC" w:rsidP="00B50DBE">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B50DBE">
              <w:rPr>
                <w:rFonts w:eastAsia="Times New Roman" w:cs="Arial"/>
                <w:color w:val="000000" w:themeColor="dark1"/>
                <w:kern w:val="24"/>
                <w:sz w:val="18"/>
                <w:szCs w:val="18"/>
                <w:lang w:val="en-US" w:eastAsia="it-IT"/>
              </w:rPr>
              <w:t>Reliable negative genotoxicity predictions for both cluster members</w:t>
            </w:r>
          </w:p>
          <w:p w14:paraId="69469A53" w14:textId="77777777" w:rsidR="00B50DBE" w:rsidRPr="00B50DBE" w:rsidRDefault="00B50DBE" w:rsidP="00B50DBE">
            <w:pPr>
              <w:pStyle w:val="Paragrafoelenco"/>
              <w:numPr>
                <w:ilvl w:val="0"/>
                <w:numId w:val="2"/>
              </w:numPr>
              <w:ind w:left="177" w:hanging="142"/>
              <w:textAlignment w:val="center"/>
              <w:rPr>
                <w:rFonts w:cs="Arial"/>
                <w:color w:val="000000" w:themeColor="dark1"/>
                <w:kern w:val="24"/>
                <w:sz w:val="18"/>
                <w:szCs w:val="18"/>
                <w:lang w:val="en-US"/>
              </w:rPr>
            </w:pPr>
            <w:r>
              <w:rPr>
                <w:rFonts w:eastAsia="Times New Roman" w:cs="Arial"/>
                <w:color w:val="000000" w:themeColor="dark1"/>
                <w:kern w:val="24"/>
                <w:sz w:val="18"/>
                <w:szCs w:val="18"/>
                <w:lang w:val="en-US" w:eastAsia="it-IT"/>
              </w:rPr>
              <w:t xml:space="preserve">Remarks/Implications: </w:t>
            </w:r>
            <w:r w:rsidRPr="00B50DBE">
              <w:rPr>
                <w:rFonts w:eastAsia="Times New Roman" w:cs="Arial"/>
                <w:color w:val="000000" w:themeColor="dark1"/>
                <w:kern w:val="24"/>
                <w:sz w:val="18"/>
                <w:szCs w:val="18"/>
                <w:lang w:val="en-US"/>
              </w:rPr>
              <w:t>No need for further assessment of the sub-cluster 9_0 members</w:t>
            </w:r>
          </w:p>
          <w:p w14:paraId="57F48711" w14:textId="77777777" w:rsidR="000F7379" w:rsidRPr="00B50DBE" w:rsidRDefault="000F7379" w:rsidP="00B50DBE">
            <w:pPr>
              <w:ind w:left="35"/>
              <w:textAlignment w:val="center"/>
              <w:rPr>
                <w:rFonts w:eastAsia="Times New Roman" w:cs="Arial"/>
                <w:color w:val="000000" w:themeColor="dark1"/>
                <w:kern w:val="24"/>
                <w:sz w:val="18"/>
                <w:szCs w:val="18"/>
                <w:lang w:val="en-US" w:eastAsia="it-IT"/>
              </w:rPr>
            </w:pPr>
          </w:p>
        </w:tc>
      </w:tr>
      <w:tr w:rsidR="000F7379" w:rsidRPr="007C7619" w14:paraId="152DC2C5" w14:textId="77777777" w:rsidTr="00CF688A">
        <w:trPr>
          <w:trHeight w:val="363"/>
        </w:trPr>
        <w:tc>
          <w:tcPr>
            <w:tcW w:w="416" w:type="pct"/>
          </w:tcPr>
          <w:p w14:paraId="0091912E" w14:textId="2E7F2E76" w:rsidR="000F7379" w:rsidRPr="000F7379" w:rsidRDefault="009E5C64" w:rsidP="00385F44">
            <w:pPr>
              <w:jc w:val="center"/>
              <w:textAlignment w:val="center"/>
              <w:rPr>
                <w:rFonts w:eastAsia="Times New Roman" w:hAnsi="Calibri" w:cs="Arial"/>
                <w:color w:val="000000" w:themeColor="dark1"/>
                <w:kern w:val="24"/>
                <w:sz w:val="18"/>
                <w:szCs w:val="18"/>
                <w:lang w:val="en-US" w:eastAsia="it-IT"/>
              </w:rPr>
            </w:pPr>
            <w:r>
              <w:rPr>
                <w:rFonts w:eastAsia="Times New Roman" w:hAnsi="Calibri" w:cs="Arial"/>
                <w:color w:val="000000" w:themeColor="dark1"/>
                <w:kern w:val="24"/>
                <w:sz w:val="18"/>
                <w:szCs w:val="18"/>
                <w:lang w:val="en-US" w:eastAsia="it-IT"/>
              </w:rPr>
              <w:t>9_1</w:t>
            </w:r>
          </w:p>
        </w:tc>
        <w:tc>
          <w:tcPr>
            <w:tcW w:w="1222" w:type="pct"/>
          </w:tcPr>
          <w:p w14:paraId="6B7B3FB7" w14:textId="7EB3AFD6" w:rsidR="000F7379" w:rsidRPr="009E5C64" w:rsidRDefault="009E5C64" w:rsidP="00385F44">
            <w:pPr>
              <w:textAlignment w:val="center"/>
              <w:rPr>
                <w:rFonts w:ascii="Calibri" w:eastAsia="Times New Roman" w:hAnsi="Calibri" w:cs="Arial"/>
                <w:color w:val="000000" w:themeColor="dark1"/>
                <w:kern w:val="24"/>
                <w:sz w:val="18"/>
                <w:szCs w:val="18"/>
                <w:lang w:val="en-US" w:eastAsia="it-IT"/>
              </w:rPr>
            </w:pPr>
            <w:r w:rsidRPr="009E5C64">
              <w:rPr>
                <w:rFonts w:ascii="Calibri" w:eastAsia="Times New Roman" w:hAnsi="Calibri" w:cs="Arial"/>
                <w:color w:val="000000" w:themeColor="dark1"/>
                <w:kern w:val="24"/>
                <w:sz w:val="18"/>
                <w:szCs w:val="18"/>
                <w:lang w:val="en-US" w:eastAsia="it-IT"/>
              </w:rPr>
              <w:t>kan_01, kan_02, kan_03, kan_04, kan_05, kan_06</w:t>
            </w:r>
          </w:p>
        </w:tc>
        <w:tc>
          <w:tcPr>
            <w:tcW w:w="288" w:type="pct"/>
          </w:tcPr>
          <w:p w14:paraId="72483D8C" w14:textId="4E6DAEFC" w:rsidR="000F7379" w:rsidRPr="000F7379" w:rsidRDefault="009E5C64" w:rsidP="00385F44">
            <w:pPr>
              <w:jc w:val="center"/>
              <w:textAlignment w:val="center"/>
              <w:rPr>
                <w:rFonts w:ascii="Calibri" w:eastAsia="Times New Roman" w:hAnsi="Calibri" w:cs="Arial"/>
                <w:color w:val="000000" w:themeColor="dark1"/>
                <w:kern w:val="24"/>
                <w:sz w:val="18"/>
                <w:szCs w:val="18"/>
                <w:lang w:val="en-US" w:eastAsia="it-IT"/>
              </w:rPr>
            </w:pPr>
            <w:r>
              <w:rPr>
                <w:rFonts w:ascii="Calibri" w:eastAsia="Times New Roman" w:hAnsi="Calibri" w:cs="Arial"/>
                <w:color w:val="000000" w:themeColor="dark1"/>
                <w:kern w:val="24"/>
                <w:sz w:val="18"/>
                <w:szCs w:val="18"/>
                <w:lang w:val="en-US" w:eastAsia="it-IT"/>
              </w:rPr>
              <w:t>6</w:t>
            </w:r>
          </w:p>
        </w:tc>
        <w:tc>
          <w:tcPr>
            <w:tcW w:w="3075" w:type="pct"/>
          </w:tcPr>
          <w:p w14:paraId="3FEBCBB7" w14:textId="77777777" w:rsidR="00820B6E" w:rsidRPr="009E5C64" w:rsidRDefault="00F029FC" w:rsidP="009E5C64">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9E5C64">
              <w:rPr>
                <w:rFonts w:eastAsia="Times New Roman" w:cs="Arial"/>
                <w:color w:val="000000" w:themeColor="dark1"/>
                <w:kern w:val="24"/>
                <w:sz w:val="18"/>
                <w:szCs w:val="18"/>
                <w:lang w:eastAsia="it-IT"/>
              </w:rPr>
              <w:t>Same SOA class: Alkane photooxidation</w:t>
            </w:r>
          </w:p>
          <w:p w14:paraId="53F30CE3" w14:textId="0847CD10" w:rsidR="00820B6E" w:rsidRPr="009E5C64" w:rsidRDefault="009E5C64" w:rsidP="009E5C64">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 xml:space="preserve">No alerts for genotoxicity, exept for kan_04 and </w:t>
            </w:r>
            <w:r w:rsidRPr="009E5C64">
              <w:rPr>
                <w:rFonts w:eastAsia="Times New Roman" w:cs="Arial"/>
                <w:color w:val="000000" w:themeColor="dark1"/>
                <w:kern w:val="24"/>
                <w:sz w:val="18"/>
                <w:szCs w:val="18"/>
                <w:lang w:val="en-US" w:eastAsia="it-IT"/>
              </w:rPr>
              <w:t>kan_05</w:t>
            </w:r>
            <w:r>
              <w:rPr>
                <w:rFonts w:eastAsia="Times New Roman" w:cs="Arial"/>
                <w:color w:val="000000" w:themeColor="dark1"/>
                <w:kern w:val="24"/>
                <w:sz w:val="18"/>
                <w:szCs w:val="18"/>
                <w:lang w:val="en-US" w:eastAsia="it-IT"/>
              </w:rPr>
              <w:t xml:space="preserve"> (s</w:t>
            </w:r>
            <w:r w:rsidR="00F029FC" w:rsidRPr="009E5C64">
              <w:rPr>
                <w:rFonts w:eastAsia="Times New Roman" w:cs="Arial"/>
                <w:color w:val="000000" w:themeColor="dark1"/>
                <w:kern w:val="24"/>
                <w:sz w:val="18"/>
                <w:szCs w:val="18"/>
                <w:lang w:val="en-US" w:eastAsia="it-IT"/>
              </w:rPr>
              <w:t>ame alerts: H-acceptor-path3-H-acceptor, Oxolane</w:t>
            </w:r>
            <w:r>
              <w:rPr>
                <w:rFonts w:eastAsia="Times New Roman" w:cs="Arial"/>
                <w:color w:val="000000" w:themeColor="dark1"/>
                <w:kern w:val="24"/>
                <w:sz w:val="18"/>
                <w:szCs w:val="18"/>
                <w:lang w:val="en-US" w:eastAsia="it-IT"/>
              </w:rPr>
              <w:t>)</w:t>
            </w:r>
          </w:p>
          <w:p w14:paraId="2E423F67" w14:textId="77777777" w:rsidR="00820B6E" w:rsidRPr="009E5C64" w:rsidRDefault="00F029FC" w:rsidP="009E5C64">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9E5C64">
              <w:rPr>
                <w:rFonts w:eastAsia="Times New Roman" w:cs="Arial"/>
                <w:color w:val="000000" w:themeColor="dark1"/>
                <w:kern w:val="24"/>
                <w:sz w:val="18"/>
                <w:szCs w:val="18"/>
                <w:lang w:val="en-US" w:eastAsia="it-IT"/>
              </w:rPr>
              <w:t>Reliable negative genotoxicity predictions for all cluster members</w:t>
            </w:r>
          </w:p>
          <w:p w14:paraId="5509EAFC" w14:textId="462A26EB" w:rsidR="009E5C64" w:rsidRPr="009E5C64" w:rsidRDefault="009E5C64" w:rsidP="009E5C64">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Pr>
                <w:rFonts w:eastAsia="Times New Roman" w:cs="Arial"/>
                <w:color w:val="000000" w:themeColor="dark1"/>
                <w:kern w:val="24"/>
                <w:sz w:val="18"/>
                <w:szCs w:val="18"/>
                <w:lang w:val="en-US" w:eastAsia="it-IT"/>
              </w:rPr>
              <w:t xml:space="preserve">Remarks/Implications: </w:t>
            </w:r>
            <w:r w:rsidRPr="009E5C64">
              <w:rPr>
                <w:rFonts w:eastAsia="Times New Roman" w:cs="Arial"/>
                <w:color w:val="000000" w:themeColor="dark1"/>
                <w:kern w:val="24"/>
                <w:sz w:val="18"/>
                <w:szCs w:val="18"/>
                <w:lang w:val="en-US" w:eastAsia="it-IT"/>
              </w:rPr>
              <w:t>No need for further assessment of the sub-cluster 9_1 members</w:t>
            </w:r>
          </w:p>
          <w:p w14:paraId="586E2928" w14:textId="77777777" w:rsidR="000F7379" w:rsidRPr="009E5C64" w:rsidRDefault="000F7379" w:rsidP="009E5C64">
            <w:pPr>
              <w:ind w:left="35"/>
              <w:textAlignment w:val="center"/>
              <w:rPr>
                <w:rFonts w:eastAsia="Times New Roman" w:cs="Arial"/>
                <w:color w:val="000000" w:themeColor="dark1"/>
                <w:kern w:val="24"/>
                <w:sz w:val="18"/>
                <w:szCs w:val="18"/>
                <w:lang w:val="en-US" w:eastAsia="it-IT"/>
              </w:rPr>
            </w:pPr>
          </w:p>
        </w:tc>
      </w:tr>
      <w:tr w:rsidR="000F7379" w:rsidRPr="007C7619" w14:paraId="1EF7DDDE" w14:textId="77777777" w:rsidTr="00CF688A">
        <w:trPr>
          <w:trHeight w:val="363"/>
        </w:trPr>
        <w:tc>
          <w:tcPr>
            <w:tcW w:w="416" w:type="pct"/>
          </w:tcPr>
          <w:p w14:paraId="421ADB4B" w14:textId="70D31B65" w:rsidR="000F7379" w:rsidRPr="000F7379" w:rsidRDefault="00FB7028" w:rsidP="00385F44">
            <w:pPr>
              <w:jc w:val="center"/>
              <w:textAlignment w:val="center"/>
              <w:rPr>
                <w:rFonts w:eastAsia="Times New Roman" w:hAnsi="Calibri" w:cs="Arial"/>
                <w:color w:val="000000" w:themeColor="dark1"/>
                <w:kern w:val="24"/>
                <w:sz w:val="18"/>
                <w:szCs w:val="18"/>
                <w:lang w:val="en-US" w:eastAsia="it-IT"/>
              </w:rPr>
            </w:pPr>
            <w:r>
              <w:rPr>
                <w:rFonts w:eastAsia="Times New Roman" w:hAnsi="Calibri" w:cs="Arial"/>
                <w:color w:val="000000" w:themeColor="dark1"/>
                <w:kern w:val="24"/>
                <w:sz w:val="18"/>
                <w:szCs w:val="18"/>
                <w:lang w:val="en-US" w:eastAsia="it-IT"/>
              </w:rPr>
              <w:t>9_2</w:t>
            </w:r>
          </w:p>
        </w:tc>
        <w:tc>
          <w:tcPr>
            <w:tcW w:w="1222" w:type="pct"/>
          </w:tcPr>
          <w:p w14:paraId="1B5BA198" w14:textId="07B9CA2A" w:rsidR="000F7379" w:rsidRPr="000F7379" w:rsidRDefault="006E4094" w:rsidP="00385F44">
            <w:pPr>
              <w:textAlignment w:val="center"/>
              <w:rPr>
                <w:rFonts w:ascii="Calibri" w:eastAsia="Times New Roman" w:hAnsi="Calibri" w:cs="Arial"/>
                <w:color w:val="000000" w:themeColor="dark1"/>
                <w:kern w:val="24"/>
                <w:sz w:val="18"/>
                <w:szCs w:val="18"/>
                <w:lang w:val="en-US" w:eastAsia="it-IT"/>
              </w:rPr>
            </w:pPr>
            <w:r w:rsidRPr="00FB7028">
              <w:rPr>
                <w:rFonts w:ascii="Calibri" w:eastAsia="Times New Roman" w:hAnsi="Calibri" w:cs="Arial"/>
                <w:color w:val="000000" w:themeColor="dark1"/>
                <w:kern w:val="24"/>
                <w:sz w:val="18"/>
                <w:szCs w:val="18"/>
                <w:lang w:val="en-US" w:eastAsia="it-IT"/>
              </w:rPr>
              <w:t>alb_01, alb_02, alb_03, alb_04,</w:t>
            </w:r>
            <w:r w:rsidRPr="006E4094">
              <w:rPr>
                <w:lang w:val="en-US"/>
              </w:rPr>
              <w:t xml:space="preserve"> </w:t>
            </w:r>
            <w:r w:rsidRPr="006E4094">
              <w:rPr>
                <w:rFonts w:ascii="Calibri" w:eastAsia="Times New Roman" w:hAnsi="Calibri" w:cs="Arial"/>
                <w:color w:val="000000" w:themeColor="dark1"/>
                <w:kern w:val="24"/>
                <w:sz w:val="18"/>
                <w:szCs w:val="18"/>
                <w:lang w:val="en-US" w:eastAsia="it-IT"/>
              </w:rPr>
              <w:t>lmp_01, lmp_05, lmp_06, lmp_07, lmp_08, lmp_12</w:t>
            </w:r>
            <w:r w:rsidRPr="006E4094">
              <w:rPr>
                <w:rFonts w:ascii="Calibri" w:eastAsia="Times New Roman" w:hAnsi="Calibri" w:cs="Arial"/>
                <w:color w:val="000000" w:themeColor="dark1"/>
                <w:kern w:val="24"/>
                <w:sz w:val="18"/>
                <w:szCs w:val="18"/>
                <w:vertAlign w:val="superscript"/>
                <w:lang w:val="en-US" w:eastAsia="it-IT"/>
              </w:rPr>
              <w:t>#</w:t>
            </w:r>
            <w:r w:rsidRPr="006E4094">
              <w:rPr>
                <w:rFonts w:ascii="Calibri" w:eastAsia="Times New Roman" w:hAnsi="Calibri" w:cs="Arial"/>
                <w:color w:val="000000" w:themeColor="dark1"/>
                <w:kern w:val="24"/>
                <w:sz w:val="18"/>
                <w:szCs w:val="18"/>
                <w:lang w:val="en-US" w:eastAsia="it-IT"/>
              </w:rPr>
              <w:t>, lmp_13</w:t>
            </w:r>
            <w:r>
              <w:rPr>
                <w:rFonts w:ascii="Calibri" w:eastAsia="Times New Roman" w:hAnsi="Calibri" w:cs="Arial"/>
                <w:color w:val="000000" w:themeColor="dark1"/>
                <w:kern w:val="24"/>
                <w:sz w:val="18"/>
                <w:szCs w:val="18"/>
                <w:lang w:val="en-US" w:eastAsia="it-IT"/>
              </w:rPr>
              <w:t>*</w:t>
            </w:r>
            <w:r w:rsidRPr="006E4094">
              <w:rPr>
                <w:rFonts w:ascii="Calibri" w:eastAsia="Times New Roman" w:hAnsi="Calibri" w:cs="Arial"/>
                <w:color w:val="000000" w:themeColor="dark1"/>
                <w:kern w:val="24"/>
                <w:sz w:val="18"/>
                <w:szCs w:val="18"/>
                <w:lang w:val="en-US" w:eastAsia="it-IT"/>
              </w:rPr>
              <w:t>, lmp_14</w:t>
            </w:r>
            <w:r>
              <w:rPr>
                <w:rFonts w:ascii="Calibri" w:eastAsia="Times New Roman" w:hAnsi="Calibri" w:cs="Arial"/>
                <w:color w:val="000000" w:themeColor="dark1"/>
                <w:kern w:val="24"/>
                <w:sz w:val="18"/>
                <w:szCs w:val="18"/>
                <w:lang w:val="en-US" w:eastAsia="it-IT"/>
              </w:rPr>
              <w:t>*</w:t>
            </w:r>
            <w:r w:rsidRPr="006E4094">
              <w:rPr>
                <w:rFonts w:ascii="Calibri" w:eastAsia="Times New Roman" w:hAnsi="Calibri" w:cs="Arial"/>
                <w:color w:val="000000" w:themeColor="dark1"/>
                <w:kern w:val="24"/>
                <w:sz w:val="18"/>
                <w:szCs w:val="18"/>
                <w:lang w:val="en-US" w:eastAsia="it-IT"/>
              </w:rPr>
              <w:t>, lmp_18, lmp_22</w:t>
            </w:r>
          </w:p>
        </w:tc>
        <w:tc>
          <w:tcPr>
            <w:tcW w:w="288" w:type="pct"/>
          </w:tcPr>
          <w:p w14:paraId="2552F36D" w14:textId="0527C37F" w:rsidR="000F7379" w:rsidRPr="000F7379" w:rsidRDefault="006E4094" w:rsidP="00385F44">
            <w:pPr>
              <w:jc w:val="center"/>
              <w:textAlignment w:val="center"/>
              <w:rPr>
                <w:rFonts w:ascii="Calibri" w:eastAsia="Times New Roman" w:hAnsi="Calibri" w:cs="Arial"/>
                <w:color w:val="000000" w:themeColor="dark1"/>
                <w:kern w:val="24"/>
                <w:sz w:val="18"/>
                <w:szCs w:val="18"/>
                <w:lang w:val="en-US" w:eastAsia="it-IT"/>
              </w:rPr>
            </w:pPr>
            <w:r>
              <w:rPr>
                <w:rFonts w:ascii="Calibri" w:eastAsia="Times New Roman" w:hAnsi="Calibri" w:cs="Arial"/>
                <w:color w:val="000000" w:themeColor="dark1"/>
                <w:kern w:val="24"/>
                <w:sz w:val="18"/>
                <w:szCs w:val="18"/>
                <w:lang w:val="en-US" w:eastAsia="it-IT"/>
              </w:rPr>
              <w:t>14</w:t>
            </w:r>
          </w:p>
        </w:tc>
        <w:tc>
          <w:tcPr>
            <w:tcW w:w="3075" w:type="pct"/>
          </w:tcPr>
          <w:p w14:paraId="287664B5" w14:textId="544AA756" w:rsidR="00820B6E" w:rsidRPr="006E4094" w:rsidRDefault="00F029FC" w:rsidP="006E4094">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E4094">
              <w:rPr>
                <w:rFonts w:eastAsia="Times New Roman" w:cs="Arial"/>
                <w:color w:val="000000" w:themeColor="dark1"/>
                <w:kern w:val="24"/>
                <w:sz w:val="18"/>
                <w:szCs w:val="18"/>
                <w:lang w:val="en-US" w:eastAsia="it-IT"/>
              </w:rPr>
              <w:t>Two SOA class</w:t>
            </w:r>
            <w:r w:rsidR="006E4094">
              <w:rPr>
                <w:rFonts w:eastAsia="Times New Roman" w:cs="Arial"/>
                <w:color w:val="000000" w:themeColor="dark1"/>
                <w:kern w:val="24"/>
                <w:sz w:val="18"/>
                <w:szCs w:val="18"/>
                <w:lang w:val="en-US" w:eastAsia="it-IT"/>
              </w:rPr>
              <w:t>es</w:t>
            </w:r>
            <w:r w:rsidRPr="006E4094">
              <w:rPr>
                <w:rFonts w:eastAsia="Times New Roman" w:cs="Arial"/>
                <w:color w:val="000000" w:themeColor="dark1"/>
                <w:kern w:val="24"/>
                <w:sz w:val="18"/>
                <w:szCs w:val="18"/>
                <w:lang w:val="en-US" w:eastAsia="it-IT"/>
              </w:rPr>
              <w:t xml:space="preserve">: low MW PAH and Alkylbenzene </w:t>
            </w:r>
          </w:p>
          <w:p w14:paraId="610230D2" w14:textId="4F027B56" w:rsidR="00820B6E" w:rsidRPr="006E4094" w:rsidRDefault="00F029FC" w:rsidP="006E4094">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6E4094">
              <w:rPr>
                <w:rFonts w:eastAsia="Times New Roman" w:cs="Arial"/>
                <w:color w:val="000000" w:themeColor="dark1"/>
                <w:kern w:val="24"/>
                <w:sz w:val="18"/>
                <w:szCs w:val="18"/>
                <w:lang w:eastAsia="it-IT"/>
              </w:rPr>
              <w:t>Different MoAs</w:t>
            </w:r>
            <w:r w:rsidR="006E4094">
              <w:rPr>
                <w:rFonts w:eastAsia="Times New Roman" w:cs="Arial"/>
                <w:color w:val="000000" w:themeColor="dark1"/>
                <w:kern w:val="24"/>
                <w:sz w:val="18"/>
                <w:szCs w:val="18"/>
                <w:lang w:eastAsia="it-IT"/>
              </w:rPr>
              <w:t xml:space="preserve"> for genotoxicity</w:t>
            </w:r>
          </w:p>
          <w:p w14:paraId="118F1068" w14:textId="352AC982" w:rsidR="00820B6E" w:rsidRPr="006E4094" w:rsidRDefault="00F029FC" w:rsidP="006E4094">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E4094">
              <w:rPr>
                <w:rFonts w:eastAsia="Times New Roman" w:cs="Arial"/>
                <w:color w:val="000000" w:themeColor="dark1"/>
                <w:kern w:val="24"/>
                <w:sz w:val="18"/>
                <w:szCs w:val="18"/>
                <w:lang w:val="en-US" w:eastAsia="it-IT"/>
              </w:rPr>
              <w:t>Same alerts</w:t>
            </w:r>
            <w:r w:rsidR="006E4094" w:rsidRPr="006E4094">
              <w:rPr>
                <w:rFonts w:eastAsia="Times New Roman" w:cs="Arial"/>
                <w:color w:val="000000" w:themeColor="dark1"/>
                <w:kern w:val="24"/>
                <w:sz w:val="18"/>
                <w:szCs w:val="18"/>
                <w:lang w:val="en-US" w:eastAsia="it-IT"/>
              </w:rPr>
              <w:t xml:space="preserve">: </w:t>
            </w:r>
            <w:r w:rsidRPr="006E4094">
              <w:rPr>
                <w:rFonts w:eastAsia="Times New Roman" w:cs="Arial"/>
                <w:color w:val="000000" w:themeColor="dark1"/>
                <w:kern w:val="24"/>
                <w:sz w:val="18"/>
                <w:szCs w:val="18"/>
                <w:lang w:val="en-US" w:eastAsia="it-IT"/>
              </w:rPr>
              <w:t>H-acceptor-path3-H-acceptor</w:t>
            </w:r>
            <w:r w:rsidR="006E4094" w:rsidRPr="006E4094">
              <w:rPr>
                <w:rFonts w:eastAsia="Times New Roman" w:cs="Arial"/>
                <w:color w:val="000000" w:themeColor="dark1"/>
                <w:kern w:val="24"/>
                <w:sz w:val="18"/>
                <w:szCs w:val="18"/>
                <w:lang w:val="en-US" w:eastAsia="it-IT"/>
              </w:rPr>
              <w:t xml:space="preserve">, </w:t>
            </w:r>
            <w:r w:rsidRPr="006E4094">
              <w:rPr>
                <w:rFonts w:eastAsia="Times New Roman" w:cs="Arial"/>
                <w:color w:val="000000" w:themeColor="dark1"/>
                <w:kern w:val="24"/>
                <w:sz w:val="18"/>
                <w:szCs w:val="18"/>
                <w:lang w:val="en-US" w:eastAsia="it-IT"/>
              </w:rPr>
              <w:t>Alkyl phenols</w:t>
            </w:r>
            <w:r w:rsidR="006E4094" w:rsidRPr="006E4094">
              <w:rPr>
                <w:rFonts w:eastAsia="Times New Roman" w:cs="Arial"/>
                <w:color w:val="000000" w:themeColor="dark1"/>
                <w:kern w:val="24"/>
                <w:sz w:val="18"/>
                <w:szCs w:val="18"/>
                <w:lang w:val="en-US" w:eastAsia="it-IT"/>
              </w:rPr>
              <w:t xml:space="preserve">, </w:t>
            </w:r>
            <w:r w:rsidRPr="006E4094">
              <w:rPr>
                <w:rFonts w:eastAsia="Times New Roman" w:cs="Arial"/>
                <w:color w:val="000000" w:themeColor="dark1"/>
                <w:kern w:val="24"/>
                <w:sz w:val="18"/>
                <w:szCs w:val="18"/>
                <w:lang w:val="en-US" w:eastAsia="it-IT"/>
              </w:rPr>
              <w:t>Nitro-Aromatic group</w:t>
            </w:r>
            <w:r w:rsidR="006E4094" w:rsidRPr="006E4094">
              <w:rPr>
                <w:rFonts w:eastAsia="Times New Roman" w:cs="Arial"/>
                <w:color w:val="000000" w:themeColor="dark1"/>
                <w:kern w:val="24"/>
                <w:sz w:val="18"/>
                <w:szCs w:val="18"/>
                <w:lang w:val="en-US" w:eastAsia="it-IT"/>
              </w:rPr>
              <w:t xml:space="preserve">, </w:t>
            </w:r>
            <w:r w:rsidRPr="006E4094">
              <w:rPr>
                <w:rFonts w:eastAsia="Times New Roman" w:cs="Arial"/>
                <w:color w:val="000000" w:themeColor="dark1"/>
                <w:kern w:val="24"/>
                <w:sz w:val="18"/>
                <w:szCs w:val="18"/>
                <w:lang w:val="en-US" w:eastAsia="it-IT"/>
              </w:rPr>
              <w:t>Hydroquinones</w:t>
            </w:r>
            <w:r w:rsidR="006E4094" w:rsidRPr="006E4094">
              <w:rPr>
                <w:rFonts w:eastAsia="Times New Roman" w:cs="Arial"/>
                <w:color w:val="000000" w:themeColor="dark1"/>
                <w:kern w:val="24"/>
                <w:sz w:val="18"/>
                <w:szCs w:val="18"/>
                <w:lang w:val="en-US" w:eastAsia="it-IT"/>
              </w:rPr>
              <w:t xml:space="preserve">, </w:t>
            </w:r>
            <w:r w:rsidRPr="006E4094">
              <w:rPr>
                <w:rFonts w:eastAsia="Times New Roman" w:cs="Arial"/>
                <w:color w:val="000000" w:themeColor="dark1"/>
                <w:kern w:val="24"/>
                <w:sz w:val="18"/>
                <w:szCs w:val="18"/>
                <w:lang w:val="en-US" w:eastAsia="it-IT"/>
              </w:rPr>
              <w:t>9,10-dihydrophenanthrenes</w:t>
            </w:r>
            <w:r w:rsidR="006E4094" w:rsidRPr="006E4094">
              <w:rPr>
                <w:rFonts w:eastAsia="Times New Roman" w:cs="Arial"/>
                <w:color w:val="000000" w:themeColor="dark1"/>
                <w:kern w:val="24"/>
                <w:sz w:val="18"/>
                <w:szCs w:val="18"/>
                <w:lang w:val="en-US" w:eastAsia="it-IT"/>
              </w:rPr>
              <w:t>,</w:t>
            </w:r>
            <w:r w:rsidR="006E4094">
              <w:rPr>
                <w:rFonts w:eastAsia="Times New Roman" w:cs="Arial"/>
                <w:color w:val="000000" w:themeColor="dark1"/>
                <w:kern w:val="24"/>
                <w:sz w:val="18"/>
                <w:szCs w:val="18"/>
                <w:lang w:val="en-US" w:eastAsia="it-IT"/>
              </w:rPr>
              <w:t xml:space="preserve"> </w:t>
            </w:r>
            <w:r w:rsidRPr="006E4094">
              <w:rPr>
                <w:rFonts w:eastAsia="Times New Roman" w:cs="Arial"/>
                <w:color w:val="000000" w:themeColor="dark1"/>
                <w:kern w:val="24"/>
                <w:sz w:val="18"/>
                <w:szCs w:val="18"/>
                <w:lang w:val="en-US" w:eastAsia="it-IT"/>
              </w:rPr>
              <w:t>Alpha-beta-dicarbonyl</w:t>
            </w:r>
          </w:p>
          <w:p w14:paraId="38751EA7" w14:textId="77777777" w:rsidR="00820B6E" w:rsidRPr="006E4094" w:rsidRDefault="00F029FC" w:rsidP="006E4094">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E4094">
              <w:rPr>
                <w:rFonts w:eastAsia="Times New Roman" w:cs="Arial"/>
                <w:color w:val="000000" w:themeColor="dark1"/>
                <w:kern w:val="24"/>
                <w:sz w:val="18"/>
                <w:szCs w:val="18"/>
                <w:lang w:val="en-US" w:eastAsia="it-IT"/>
              </w:rPr>
              <w:t>Different genotoxicity predictions: positive/negative/indeterminate</w:t>
            </w:r>
          </w:p>
          <w:p w14:paraId="015D94BA" w14:textId="11191D86" w:rsidR="006E4094" w:rsidRPr="006E4094" w:rsidRDefault="006E4094" w:rsidP="006E4094">
            <w:pPr>
              <w:pStyle w:val="Paragrafoelenco"/>
              <w:numPr>
                <w:ilvl w:val="0"/>
                <w:numId w:val="2"/>
              </w:numPr>
              <w:ind w:left="177" w:hanging="142"/>
              <w:textAlignment w:val="center"/>
              <w:rPr>
                <w:rFonts w:cs="Arial"/>
                <w:color w:val="000000" w:themeColor="dark1"/>
                <w:kern w:val="24"/>
                <w:sz w:val="18"/>
                <w:szCs w:val="18"/>
                <w:lang w:val="en-US"/>
              </w:rPr>
            </w:pPr>
            <w:r>
              <w:rPr>
                <w:rFonts w:eastAsia="Times New Roman" w:cs="Arial"/>
                <w:color w:val="000000" w:themeColor="dark1"/>
                <w:kern w:val="24"/>
                <w:sz w:val="18"/>
                <w:szCs w:val="18"/>
                <w:lang w:val="en-US" w:eastAsia="it-IT"/>
              </w:rPr>
              <w:t xml:space="preserve">Remarks/Implications: 1) </w:t>
            </w:r>
            <w:r w:rsidRPr="006E4094">
              <w:rPr>
                <w:rFonts w:eastAsia="Times New Roman" w:cs="Arial"/>
                <w:color w:val="000000" w:themeColor="dark1"/>
                <w:kern w:val="24"/>
                <w:sz w:val="18"/>
                <w:szCs w:val="18"/>
                <w:lang w:val="en-US" w:eastAsia="it-IT"/>
              </w:rPr>
              <w:t>Need for fur</w:t>
            </w:r>
            <w:r>
              <w:rPr>
                <w:rFonts w:eastAsia="Times New Roman" w:cs="Arial"/>
                <w:color w:val="000000" w:themeColor="dark1"/>
                <w:kern w:val="24"/>
                <w:sz w:val="18"/>
                <w:szCs w:val="18"/>
                <w:lang w:val="en-US" w:eastAsia="it-IT"/>
              </w:rPr>
              <w:t>t</w:t>
            </w:r>
            <w:r w:rsidRPr="006E4094">
              <w:rPr>
                <w:rFonts w:eastAsia="Times New Roman" w:cs="Arial"/>
                <w:color w:val="000000" w:themeColor="dark1"/>
                <w:kern w:val="24"/>
                <w:sz w:val="18"/>
                <w:szCs w:val="18"/>
                <w:lang w:val="en-US" w:eastAsia="it-IT"/>
              </w:rPr>
              <w:t xml:space="preserve">her assessment </w:t>
            </w:r>
            <w:r>
              <w:rPr>
                <w:rFonts w:eastAsia="Times New Roman" w:cs="Arial"/>
                <w:color w:val="000000" w:themeColor="dark1"/>
                <w:kern w:val="24"/>
                <w:sz w:val="18"/>
                <w:szCs w:val="18"/>
                <w:lang w:val="en-US" w:eastAsia="it-IT"/>
              </w:rPr>
              <w:t xml:space="preserve">for lmp_13 and lmp_14(*) </w:t>
            </w:r>
            <w:r w:rsidRPr="006E4094">
              <w:rPr>
                <w:rFonts w:eastAsia="Times New Roman" w:cs="Arial"/>
                <w:color w:val="000000" w:themeColor="dark1"/>
                <w:kern w:val="24"/>
                <w:sz w:val="18"/>
                <w:szCs w:val="18"/>
                <w:lang w:val="en-US" w:eastAsia="it-IT"/>
              </w:rPr>
              <w:t xml:space="preserve">(experimental data or possible read-across </w:t>
            </w:r>
            <w:r>
              <w:rPr>
                <w:rFonts w:eastAsia="Times New Roman" w:cs="Arial"/>
                <w:color w:val="000000" w:themeColor="dark1"/>
                <w:kern w:val="24"/>
                <w:sz w:val="18"/>
                <w:szCs w:val="18"/>
                <w:lang w:val="en-US" w:eastAsia="it-IT"/>
              </w:rPr>
              <w:t>from Imp_</w:t>
            </w:r>
            <w:r w:rsidRPr="006E4094">
              <w:rPr>
                <w:rFonts w:eastAsia="Times New Roman" w:cs="Arial"/>
                <w:color w:val="000000" w:themeColor="dark1"/>
                <w:kern w:val="24"/>
                <w:sz w:val="18"/>
                <w:szCs w:val="18"/>
                <w:lang w:val="en-US" w:eastAsia="it-IT"/>
              </w:rPr>
              <w:t>07 negative data)</w:t>
            </w:r>
            <w:r>
              <w:rPr>
                <w:rFonts w:eastAsia="Times New Roman" w:cs="Arial"/>
                <w:color w:val="000000" w:themeColor="dark1"/>
                <w:kern w:val="24"/>
                <w:sz w:val="18"/>
                <w:szCs w:val="18"/>
                <w:lang w:val="en-US" w:eastAsia="it-IT"/>
              </w:rPr>
              <w:t xml:space="preserve">; 2) </w:t>
            </w:r>
            <w:r w:rsidRPr="006E4094">
              <w:rPr>
                <w:rFonts w:eastAsia="Times New Roman" w:cs="Arial"/>
                <w:color w:val="000000" w:themeColor="dark1"/>
                <w:kern w:val="24"/>
                <w:sz w:val="18"/>
                <w:szCs w:val="18"/>
                <w:lang w:val="en-US"/>
              </w:rPr>
              <w:t xml:space="preserve">Further confirmation needed </w:t>
            </w:r>
            <w:r>
              <w:rPr>
                <w:rFonts w:eastAsia="Times New Roman" w:cs="Arial"/>
                <w:color w:val="000000" w:themeColor="dark1"/>
                <w:kern w:val="24"/>
                <w:sz w:val="18"/>
                <w:szCs w:val="18"/>
                <w:lang w:val="en-US"/>
              </w:rPr>
              <w:t>for lmp_12(</w:t>
            </w:r>
            <w:r w:rsidRPr="006E4094">
              <w:rPr>
                <w:rFonts w:eastAsia="Times New Roman" w:cs="Arial"/>
                <w:color w:val="000000" w:themeColor="dark1"/>
                <w:kern w:val="24"/>
                <w:sz w:val="18"/>
                <w:szCs w:val="18"/>
                <w:vertAlign w:val="superscript"/>
                <w:lang w:val="en-US"/>
              </w:rPr>
              <w:t>#</w:t>
            </w:r>
            <w:r>
              <w:rPr>
                <w:rFonts w:eastAsia="Times New Roman" w:cs="Arial"/>
                <w:color w:val="000000" w:themeColor="dark1"/>
                <w:kern w:val="24"/>
                <w:sz w:val="18"/>
                <w:szCs w:val="18"/>
                <w:lang w:val="en-US"/>
              </w:rPr>
              <w:t xml:space="preserve">) positive prediction </w:t>
            </w:r>
            <w:r w:rsidRPr="006E4094">
              <w:rPr>
                <w:rFonts w:eastAsia="Times New Roman" w:cs="Arial"/>
                <w:color w:val="000000" w:themeColor="dark1"/>
                <w:kern w:val="24"/>
                <w:sz w:val="18"/>
                <w:szCs w:val="18"/>
                <w:lang w:val="en-US"/>
              </w:rPr>
              <w:t xml:space="preserve">(e.g., integrate with other </w:t>
            </w:r>
            <w:r w:rsidRPr="006E4094">
              <w:rPr>
                <w:rFonts w:eastAsia="Times New Roman" w:cs="Arial"/>
                <w:i/>
                <w:iCs/>
                <w:color w:val="000000" w:themeColor="dark1"/>
                <w:kern w:val="24"/>
                <w:sz w:val="18"/>
                <w:szCs w:val="18"/>
                <w:lang w:val="en-US"/>
              </w:rPr>
              <w:t xml:space="preserve">in silico </w:t>
            </w:r>
            <w:r w:rsidRPr="006E4094">
              <w:rPr>
                <w:rFonts w:eastAsia="Times New Roman" w:cs="Arial"/>
                <w:color w:val="000000" w:themeColor="dark1"/>
                <w:kern w:val="24"/>
                <w:sz w:val="18"/>
                <w:szCs w:val="18"/>
                <w:lang w:val="en-US"/>
              </w:rPr>
              <w:t>predictors)</w:t>
            </w:r>
          </w:p>
          <w:p w14:paraId="7A5160B4" w14:textId="77777777" w:rsidR="000F7379" w:rsidRPr="00A14A86" w:rsidRDefault="000F7379" w:rsidP="00A14A86">
            <w:pPr>
              <w:ind w:left="35"/>
              <w:textAlignment w:val="center"/>
              <w:rPr>
                <w:rFonts w:eastAsia="Times New Roman" w:cs="Arial"/>
                <w:color w:val="000000" w:themeColor="dark1"/>
                <w:kern w:val="24"/>
                <w:sz w:val="18"/>
                <w:szCs w:val="18"/>
                <w:lang w:val="en-US" w:eastAsia="it-IT"/>
              </w:rPr>
            </w:pPr>
          </w:p>
        </w:tc>
      </w:tr>
      <w:tr w:rsidR="000F7379" w:rsidRPr="007C7619" w14:paraId="4E6FE1D7" w14:textId="77777777" w:rsidTr="00CF688A">
        <w:trPr>
          <w:trHeight w:val="363"/>
        </w:trPr>
        <w:tc>
          <w:tcPr>
            <w:tcW w:w="416" w:type="pct"/>
          </w:tcPr>
          <w:p w14:paraId="28B0FAC7" w14:textId="6DCED45F" w:rsidR="000F7379" w:rsidRPr="000F7379" w:rsidRDefault="00FB7028" w:rsidP="00385F44">
            <w:pPr>
              <w:jc w:val="center"/>
              <w:textAlignment w:val="center"/>
              <w:rPr>
                <w:rFonts w:eastAsia="Times New Roman" w:hAnsi="Calibri" w:cs="Arial"/>
                <w:color w:val="000000" w:themeColor="dark1"/>
                <w:kern w:val="24"/>
                <w:sz w:val="18"/>
                <w:szCs w:val="18"/>
                <w:lang w:val="en-US" w:eastAsia="it-IT"/>
              </w:rPr>
            </w:pPr>
            <w:r>
              <w:rPr>
                <w:rFonts w:eastAsia="Times New Roman" w:hAnsi="Calibri" w:cs="Arial"/>
                <w:color w:val="000000" w:themeColor="dark1"/>
                <w:kern w:val="24"/>
                <w:sz w:val="18"/>
                <w:szCs w:val="18"/>
                <w:lang w:val="en-US" w:eastAsia="it-IT"/>
              </w:rPr>
              <w:t>9_3</w:t>
            </w:r>
          </w:p>
        </w:tc>
        <w:tc>
          <w:tcPr>
            <w:tcW w:w="1222" w:type="pct"/>
          </w:tcPr>
          <w:p w14:paraId="28917811" w14:textId="377B0609" w:rsidR="000F7379" w:rsidRPr="00A14A86" w:rsidRDefault="00A14A86" w:rsidP="00385F44">
            <w:pPr>
              <w:textAlignment w:val="center"/>
              <w:rPr>
                <w:rFonts w:ascii="Calibri" w:eastAsia="Times New Roman" w:hAnsi="Calibri" w:cs="Arial"/>
                <w:color w:val="000000" w:themeColor="dark1"/>
                <w:kern w:val="24"/>
                <w:sz w:val="18"/>
                <w:szCs w:val="18"/>
                <w:lang w:val="en-US" w:eastAsia="it-IT"/>
              </w:rPr>
            </w:pPr>
            <w:r w:rsidRPr="000F7379">
              <w:rPr>
                <w:rFonts w:ascii="Calibri" w:eastAsia="Times New Roman" w:hAnsi="Calibri" w:cs="Arial"/>
                <w:color w:val="000000" w:themeColor="dark1"/>
                <w:kern w:val="24"/>
                <w:sz w:val="18"/>
                <w:szCs w:val="18"/>
                <w:lang w:val="en-US" w:eastAsia="it-IT"/>
              </w:rPr>
              <w:t>alb_07, alb_15, alb_17, alb_18, dic_01</w:t>
            </w:r>
            <w:r w:rsidR="00314D98" w:rsidRPr="00314D98">
              <w:rPr>
                <w:rFonts w:ascii="Calibri" w:eastAsia="Times New Roman" w:hAnsi="Calibri" w:cs="Arial"/>
                <w:color w:val="000000" w:themeColor="dark1"/>
                <w:kern w:val="24"/>
                <w:sz w:val="18"/>
                <w:szCs w:val="18"/>
                <w:vertAlign w:val="superscript"/>
                <w:lang w:val="en-US" w:eastAsia="it-IT"/>
              </w:rPr>
              <w:t>#</w:t>
            </w:r>
            <w:r w:rsidRPr="000F7379">
              <w:rPr>
                <w:rFonts w:ascii="Calibri" w:eastAsia="Times New Roman" w:hAnsi="Calibri" w:cs="Arial"/>
                <w:color w:val="000000" w:themeColor="dark1"/>
                <w:kern w:val="24"/>
                <w:sz w:val="18"/>
                <w:szCs w:val="18"/>
                <w:lang w:val="en-US" w:eastAsia="it-IT"/>
              </w:rPr>
              <w:t>, dic_03</w:t>
            </w:r>
            <w:r w:rsidR="00314D98">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dic_04, dic_05, dic_06, dic_07, dic_08, iso_01, iso_02, iso_03</w:t>
            </w:r>
            <w:r w:rsidR="00314D98">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iso_04, iso_05</w:t>
            </w:r>
            <w:r w:rsidR="00314D98">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iso_06, iso_07, iso_08</w:t>
            </w:r>
            <w:r w:rsidR="00314D98">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mtr_01</w:t>
            </w:r>
            <w:r w:rsidR="00314D98">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xml:space="preserve">, mtr_02, </w:t>
            </w:r>
            <w:r w:rsidRPr="000F7379">
              <w:rPr>
                <w:rFonts w:ascii="Calibri" w:eastAsia="Times New Roman" w:hAnsi="Calibri" w:cs="Arial"/>
                <w:color w:val="000000" w:themeColor="dark1"/>
                <w:kern w:val="24"/>
                <w:sz w:val="18"/>
                <w:szCs w:val="18"/>
                <w:lang w:val="en-US" w:eastAsia="it-IT"/>
              </w:rPr>
              <w:lastRenderedPageBreak/>
              <w:t>mtr_05, mtr_06, mtr_07, mtr_08</w:t>
            </w:r>
            <w:r w:rsidR="00314D98">
              <w:rPr>
                <w:rFonts w:ascii="Calibri" w:eastAsia="Times New Roman" w:hAnsi="Calibri" w:cs="Arial"/>
                <w:color w:val="000000" w:themeColor="dark1"/>
                <w:kern w:val="24"/>
                <w:sz w:val="18"/>
                <w:szCs w:val="18"/>
                <w:lang w:val="en-US" w:eastAsia="it-IT"/>
              </w:rPr>
              <w:t>**</w:t>
            </w:r>
            <w:r w:rsidRPr="000F7379">
              <w:rPr>
                <w:rFonts w:ascii="Calibri" w:eastAsia="Times New Roman" w:hAnsi="Calibri" w:cs="Arial"/>
                <w:color w:val="000000" w:themeColor="dark1"/>
                <w:kern w:val="24"/>
                <w:sz w:val="18"/>
                <w:szCs w:val="18"/>
                <w:lang w:val="en-US" w:eastAsia="it-IT"/>
              </w:rPr>
              <w:t>, mtr_09, mtr_13, mtr_14, , mtr_17, mtr_18, mtr_19, mtr_28, mtr_29, mtr_30, mtr_31, str_01</w:t>
            </w:r>
          </w:p>
        </w:tc>
        <w:tc>
          <w:tcPr>
            <w:tcW w:w="288" w:type="pct"/>
          </w:tcPr>
          <w:p w14:paraId="6FB7DA7F" w14:textId="10D6120D" w:rsidR="000F7379" w:rsidRPr="000F7379" w:rsidRDefault="00A14A86" w:rsidP="00385F44">
            <w:pPr>
              <w:jc w:val="center"/>
              <w:textAlignment w:val="center"/>
              <w:rPr>
                <w:rFonts w:ascii="Calibri" w:eastAsia="Times New Roman" w:hAnsi="Calibri" w:cs="Arial"/>
                <w:color w:val="000000" w:themeColor="dark1"/>
                <w:kern w:val="24"/>
                <w:sz w:val="18"/>
                <w:szCs w:val="18"/>
                <w:lang w:val="en-US" w:eastAsia="it-IT"/>
              </w:rPr>
            </w:pPr>
            <w:r>
              <w:rPr>
                <w:rFonts w:ascii="Calibri" w:eastAsia="Times New Roman" w:hAnsi="Calibri" w:cs="Arial"/>
                <w:color w:val="000000" w:themeColor="dark1"/>
                <w:kern w:val="24"/>
                <w:sz w:val="18"/>
                <w:szCs w:val="18"/>
                <w:lang w:val="en-US" w:eastAsia="it-IT"/>
              </w:rPr>
              <w:lastRenderedPageBreak/>
              <w:t>36</w:t>
            </w:r>
          </w:p>
        </w:tc>
        <w:tc>
          <w:tcPr>
            <w:tcW w:w="3075" w:type="pct"/>
          </w:tcPr>
          <w:p w14:paraId="0C604E5B" w14:textId="77777777" w:rsidR="00820B6E" w:rsidRPr="00A14A86" w:rsidRDefault="00F029FC" w:rsidP="00A14A86">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A14A86">
              <w:rPr>
                <w:rFonts w:eastAsia="Times New Roman" w:cs="Arial"/>
                <w:color w:val="000000" w:themeColor="dark1"/>
                <w:kern w:val="24"/>
                <w:sz w:val="18"/>
                <w:szCs w:val="18"/>
                <w:lang w:eastAsia="it-IT"/>
              </w:rPr>
              <w:t xml:space="preserve">Different SOA classes </w:t>
            </w:r>
          </w:p>
          <w:p w14:paraId="65AAC39C" w14:textId="30B241BD" w:rsidR="00820B6E" w:rsidRPr="00A14A86" w:rsidRDefault="00F029FC" w:rsidP="00A14A86">
            <w:pPr>
              <w:pStyle w:val="Paragrafoelenco"/>
              <w:numPr>
                <w:ilvl w:val="0"/>
                <w:numId w:val="2"/>
              </w:numPr>
              <w:ind w:left="177" w:hanging="142"/>
              <w:textAlignment w:val="center"/>
              <w:rPr>
                <w:rFonts w:eastAsia="Times New Roman" w:cs="Arial"/>
                <w:color w:val="000000" w:themeColor="dark1"/>
                <w:kern w:val="24"/>
                <w:sz w:val="18"/>
                <w:szCs w:val="18"/>
                <w:lang w:eastAsia="it-IT"/>
              </w:rPr>
            </w:pPr>
            <w:r w:rsidRPr="00A14A86">
              <w:rPr>
                <w:rFonts w:eastAsia="Times New Roman" w:cs="Arial"/>
                <w:color w:val="000000" w:themeColor="dark1"/>
                <w:kern w:val="24"/>
                <w:sz w:val="18"/>
                <w:szCs w:val="18"/>
                <w:lang w:eastAsia="it-IT"/>
              </w:rPr>
              <w:t>Different MoAs</w:t>
            </w:r>
            <w:r w:rsidR="00692326">
              <w:rPr>
                <w:rFonts w:eastAsia="Times New Roman" w:cs="Arial"/>
                <w:color w:val="000000" w:themeColor="dark1"/>
                <w:kern w:val="24"/>
                <w:sz w:val="18"/>
                <w:szCs w:val="18"/>
                <w:lang w:eastAsia="it-IT"/>
              </w:rPr>
              <w:t xml:space="preserve"> for genotoxicity</w:t>
            </w:r>
          </w:p>
          <w:p w14:paraId="7C38CB04" w14:textId="6626D691" w:rsidR="00820B6E" w:rsidRPr="00692326" w:rsidRDefault="00F029FC" w:rsidP="00A14A8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692326">
              <w:rPr>
                <w:rFonts w:eastAsia="Times New Roman" w:cs="Arial"/>
                <w:color w:val="000000" w:themeColor="dark1"/>
                <w:kern w:val="24"/>
                <w:sz w:val="18"/>
                <w:szCs w:val="18"/>
                <w:lang w:val="en-US" w:eastAsia="it-IT"/>
              </w:rPr>
              <w:t>Alerts:</w:t>
            </w:r>
            <w:r w:rsidR="00692326" w:rsidRPr="00692326">
              <w:rPr>
                <w:rFonts w:eastAsia="Times New Roman" w:cs="Arial"/>
                <w:color w:val="000000" w:themeColor="dark1"/>
                <w:kern w:val="24"/>
                <w:sz w:val="18"/>
                <w:szCs w:val="18"/>
                <w:lang w:val="en-US" w:eastAsia="it-IT"/>
              </w:rPr>
              <w:t xml:space="preserve"> </w:t>
            </w:r>
            <w:r w:rsidRPr="00692326">
              <w:rPr>
                <w:rFonts w:eastAsia="Times New Roman" w:cs="Arial"/>
                <w:color w:val="000000" w:themeColor="dark1"/>
                <w:kern w:val="24"/>
                <w:sz w:val="18"/>
                <w:szCs w:val="18"/>
                <w:lang w:val="en-US" w:eastAsia="it-IT"/>
              </w:rPr>
              <w:t>H-acceptor-path3-H-acceptor (all – majority are negative)</w:t>
            </w:r>
            <w:r w:rsidR="00692326" w:rsidRPr="00692326">
              <w:rPr>
                <w:rFonts w:eastAsia="Times New Roman" w:cs="Arial"/>
                <w:color w:val="000000" w:themeColor="dark1"/>
                <w:kern w:val="24"/>
                <w:sz w:val="18"/>
                <w:szCs w:val="18"/>
                <w:lang w:val="en-US" w:eastAsia="it-IT"/>
              </w:rPr>
              <w:t xml:space="preserve">, </w:t>
            </w:r>
            <w:r w:rsidRPr="00692326">
              <w:rPr>
                <w:rFonts w:eastAsia="Times New Roman" w:cs="Arial"/>
                <w:color w:val="000000" w:themeColor="dark1"/>
                <w:kern w:val="24"/>
                <w:sz w:val="18"/>
                <w:szCs w:val="18"/>
                <w:lang w:val="en-US" w:eastAsia="it-IT"/>
              </w:rPr>
              <w:t>Organic Peroxy Compounds (only mtr_28, alb_07 – both positive)</w:t>
            </w:r>
            <w:r w:rsidR="00692326" w:rsidRPr="00692326">
              <w:rPr>
                <w:rFonts w:eastAsia="Times New Roman" w:cs="Arial"/>
                <w:color w:val="000000" w:themeColor="dark1"/>
                <w:kern w:val="24"/>
                <w:sz w:val="18"/>
                <w:szCs w:val="18"/>
                <w:lang w:val="en-US" w:eastAsia="it-IT"/>
              </w:rPr>
              <w:t xml:space="preserve">, </w:t>
            </w:r>
            <w:r w:rsidRPr="00692326">
              <w:rPr>
                <w:rFonts w:eastAsia="Times New Roman" w:cs="Arial"/>
                <w:color w:val="000000" w:themeColor="dark1"/>
                <w:kern w:val="24"/>
                <w:sz w:val="18"/>
                <w:szCs w:val="18"/>
                <w:lang w:val="en-US" w:eastAsia="it-IT"/>
              </w:rPr>
              <w:t>Oxolane (only iso_05 – indeterminate)</w:t>
            </w:r>
            <w:r w:rsidR="00692326" w:rsidRPr="00692326">
              <w:rPr>
                <w:rFonts w:eastAsia="Times New Roman" w:cs="Arial"/>
                <w:color w:val="000000" w:themeColor="dark1"/>
                <w:kern w:val="24"/>
                <w:sz w:val="18"/>
                <w:szCs w:val="18"/>
                <w:lang w:val="en-US" w:eastAsia="it-IT"/>
              </w:rPr>
              <w:t xml:space="preserve">, </w:t>
            </w:r>
            <w:r w:rsidRPr="00692326">
              <w:rPr>
                <w:rFonts w:eastAsia="Times New Roman" w:cs="Arial"/>
                <w:color w:val="000000" w:themeColor="dark1"/>
                <w:kern w:val="24"/>
                <w:sz w:val="18"/>
                <w:szCs w:val="18"/>
                <w:lang w:val="en-US" w:eastAsia="it-IT"/>
              </w:rPr>
              <w:t>Specific Acetate Esters (only mtr_14 – negative)</w:t>
            </w:r>
          </w:p>
          <w:p w14:paraId="29D16159" w14:textId="5A1D38AA" w:rsidR="00820B6E" w:rsidRPr="00A14A86" w:rsidRDefault="00F029FC" w:rsidP="00A14A86">
            <w:pPr>
              <w:pStyle w:val="Paragrafoelenco"/>
              <w:numPr>
                <w:ilvl w:val="0"/>
                <w:numId w:val="2"/>
              </w:numPr>
              <w:ind w:left="177" w:hanging="142"/>
              <w:textAlignment w:val="center"/>
              <w:rPr>
                <w:rFonts w:eastAsia="Times New Roman" w:cs="Arial"/>
                <w:color w:val="000000" w:themeColor="dark1"/>
                <w:kern w:val="24"/>
                <w:sz w:val="18"/>
                <w:szCs w:val="18"/>
                <w:lang w:val="en-US" w:eastAsia="it-IT"/>
              </w:rPr>
            </w:pPr>
            <w:r w:rsidRPr="00A14A86">
              <w:rPr>
                <w:rFonts w:eastAsia="Times New Roman" w:cs="Arial"/>
                <w:color w:val="000000" w:themeColor="dark1"/>
                <w:kern w:val="24"/>
                <w:sz w:val="18"/>
                <w:szCs w:val="18"/>
                <w:lang w:val="en-US" w:eastAsia="it-IT"/>
              </w:rPr>
              <w:t xml:space="preserve">Different genotoxicity predictions: </w:t>
            </w:r>
            <w:r w:rsidR="00314D98" w:rsidRPr="00A14A86">
              <w:rPr>
                <w:rFonts w:eastAsia="Times New Roman" w:cs="Arial"/>
                <w:color w:val="000000" w:themeColor="dark1"/>
                <w:kern w:val="24"/>
                <w:sz w:val="18"/>
                <w:szCs w:val="18"/>
                <w:lang w:val="en-US" w:eastAsia="it-IT"/>
              </w:rPr>
              <w:t xml:space="preserve">negative </w:t>
            </w:r>
            <w:r w:rsidR="00314D98">
              <w:rPr>
                <w:rFonts w:eastAsia="Times New Roman" w:cs="Arial"/>
                <w:color w:val="000000" w:themeColor="dark1"/>
                <w:kern w:val="24"/>
                <w:sz w:val="18"/>
                <w:szCs w:val="18"/>
                <w:lang w:val="en-US" w:eastAsia="it-IT"/>
              </w:rPr>
              <w:t>(75%)/</w:t>
            </w:r>
            <w:r w:rsidRPr="00A14A86">
              <w:rPr>
                <w:rFonts w:eastAsia="Times New Roman" w:cs="Arial"/>
                <w:color w:val="000000" w:themeColor="dark1"/>
                <w:kern w:val="24"/>
                <w:sz w:val="18"/>
                <w:szCs w:val="18"/>
                <w:lang w:val="en-US" w:eastAsia="it-IT"/>
              </w:rPr>
              <w:t>positive/indeterminate</w:t>
            </w:r>
          </w:p>
          <w:p w14:paraId="05B8EFB3" w14:textId="4B272A38" w:rsidR="00314D98" w:rsidRPr="00314D98" w:rsidRDefault="00314D98" w:rsidP="00314D98">
            <w:pPr>
              <w:pStyle w:val="Paragrafoelenco"/>
              <w:numPr>
                <w:ilvl w:val="0"/>
                <w:numId w:val="2"/>
              </w:numPr>
              <w:ind w:left="177" w:hanging="142"/>
              <w:textAlignment w:val="center"/>
              <w:rPr>
                <w:rFonts w:cs="Arial"/>
                <w:color w:val="000000" w:themeColor="dark1"/>
                <w:kern w:val="24"/>
                <w:sz w:val="18"/>
                <w:szCs w:val="18"/>
                <w:lang w:val="en-US"/>
              </w:rPr>
            </w:pPr>
            <w:r w:rsidRPr="00314D98">
              <w:rPr>
                <w:rFonts w:eastAsia="Times New Roman" w:cs="Arial"/>
                <w:color w:val="000000" w:themeColor="dark1"/>
                <w:kern w:val="24"/>
                <w:sz w:val="18"/>
                <w:szCs w:val="18"/>
                <w:lang w:val="en-US" w:eastAsia="it-IT"/>
              </w:rPr>
              <w:t xml:space="preserve">Remarks/Implications: Further assessment needed for some cluster </w:t>
            </w:r>
            <w:r w:rsidRPr="00314D98">
              <w:rPr>
                <w:rFonts w:eastAsia="Times New Roman" w:cs="Arial"/>
                <w:color w:val="000000" w:themeColor="dark1"/>
                <w:kern w:val="24"/>
                <w:sz w:val="18"/>
                <w:szCs w:val="18"/>
                <w:lang w:val="en-US" w:eastAsia="it-IT"/>
              </w:rPr>
              <w:lastRenderedPageBreak/>
              <w:t xml:space="preserve">members, e.g. 1) Need for experimental data for iso_05(*); 2) </w:t>
            </w:r>
            <w:r w:rsidRPr="00314D98">
              <w:rPr>
                <w:rFonts w:eastAsia="Times New Roman" w:cs="Arial"/>
                <w:color w:val="000000" w:themeColor="dark1"/>
                <w:kern w:val="24"/>
                <w:sz w:val="18"/>
                <w:szCs w:val="18"/>
                <w:lang w:val="en-US"/>
              </w:rPr>
              <w:t xml:space="preserve">Further confirmation needed for dic_01 </w:t>
            </w:r>
            <w:r w:rsidR="007177AD">
              <w:rPr>
                <w:rFonts w:eastAsia="Times New Roman" w:cs="Arial"/>
                <w:color w:val="000000" w:themeColor="dark1"/>
                <w:kern w:val="24"/>
                <w:sz w:val="18"/>
                <w:szCs w:val="18"/>
                <w:lang w:val="en-US"/>
              </w:rPr>
              <w:t>(</w:t>
            </w:r>
            <w:r w:rsidR="007177AD" w:rsidRPr="006E4094">
              <w:rPr>
                <w:rFonts w:eastAsia="Times New Roman" w:cs="Arial"/>
                <w:color w:val="000000" w:themeColor="dark1"/>
                <w:kern w:val="24"/>
                <w:sz w:val="18"/>
                <w:szCs w:val="18"/>
                <w:vertAlign w:val="superscript"/>
                <w:lang w:val="en-US"/>
              </w:rPr>
              <w:t>#</w:t>
            </w:r>
            <w:r w:rsidR="007177AD">
              <w:rPr>
                <w:rFonts w:eastAsia="Times New Roman" w:cs="Arial"/>
                <w:color w:val="000000" w:themeColor="dark1"/>
                <w:kern w:val="24"/>
                <w:sz w:val="18"/>
                <w:szCs w:val="18"/>
                <w:lang w:val="en-US"/>
              </w:rPr>
              <w:t xml:space="preserve">) </w:t>
            </w:r>
            <w:r w:rsidRPr="00314D98">
              <w:rPr>
                <w:rFonts w:eastAsia="Times New Roman" w:cs="Arial"/>
                <w:color w:val="000000" w:themeColor="dark1"/>
                <w:kern w:val="24"/>
                <w:sz w:val="18"/>
                <w:szCs w:val="18"/>
                <w:lang w:val="en-US"/>
              </w:rPr>
              <w:t xml:space="preserve">positive prediction (e.g., integrate with other </w:t>
            </w:r>
            <w:r w:rsidRPr="00314D98">
              <w:rPr>
                <w:rFonts w:eastAsia="Times New Roman" w:cs="Arial"/>
                <w:i/>
                <w:iCs/>
                <w:color w:val="000000" w:themeColor="dark1"/>
                <w:kern w:val="24"/>
                <w:sz w:val="18"/>
                <w:szCs w:val="18"/>
                <w:lang w:val="en-US"/>
              </w:rPr>
              <w:t xml:space="preserve">in silico </w:t>
            </w:r>
            <w:r w:rsidRPr="00314D98">
              <w:rPr>
                <w:rFonts w:eastAsia="Times New Roman" w:cs="Arial"/>
                <w:color w:val="000000" w:themeColor="dark1"/>
                <w:kern w:val="24"/>
                <w:sz w:val="18"/>
                <w:szCs w:val="18"/>
                <w:lang w:val="en-US"/>
              </w:rPr>
              <w:t xml:space="preserve">predictors); 3) </w:t>
            </w:r>
            <w:r w:rsidRPr="00314D98">
              <w:rPr>
                <w:rFonts w:eastAsia="Times New Roman" w:cs="Arial"/>
                <w:color w:val="000000" w:themeColor="dark1"/>
                <w:kern w:val="24"/>
                <w:sz w:val="18"/>
                <w:szCs w:val="18"/>
                <w:lang w:val="en-US" w:eastAsia="it-IT"/>
              </w:rPr>
              <w:t>Need for experimental data for one compound and possible read-across predictions for other compounds (**)</w:t>
            </w:r>
            <w:r w:rsidRPr="00314D98">
              <w:rPr>
                <w:rFonts w:eastAsia="Times New Roman" w:cs="Arial"/>
                <w:color w:val="000000" w:themeColor="dark1"/>
                <w:kern w:val="24"/>
                <w:sz w:val="18"/>
                <w:szCs w:val="18"/>
                <w:lang w:val="en-US"/>
              </w:rPr>
              <w:t xml:space="preserve"> </w:t>
            </w:r>
          </w:p>
          <w:p w14:paraId="7B462E6C" w14:textId="0664EBF5" w:rsidR="000F7379" w:rsidRPr="006744EF" w:rsidRDefault="000F7379" w:rsidP="00314D98">
            <w:pPr>
              <w:pStyle w:val="Paragrafoelenco"/>
              <w:ind w:left="177"/>
              <w:textAlignment w:val="center"/>
              <w:rPr>
                <w:rFonts w:eastAsia="Times New Roman" w:cs="Arial"/>
                <w:color w:val="000000" w:themeColor="dark1"/>
                <w:kern w:val="24"/>
                <w:sz w:val="18"/>
                <w:szCs w:val="18"/>
                <w:lang w:val="en-US" w:eastAsia="it-IT"/>
              </w:rPr>
            </w:pPr>
          </w:p>
        </w:tc>
      </w:tr>
    </w:tbl>
    <w:p w14:paraId="0B374128" w14:textId="5605FCEA" w:rsidR="00385F44" w:rsidRDefault="00385F44" w:rsidP="00E27422">
      <w:pPr>
        <w:rPr>
          <w:lang w:val="en-US"/>
        </w:rPr>
      </w:pPr>
    </w:p>
    <w:p w14:paraId="27ECB357" w14:textId="77777777" w:rsidR="006C5CA1" w:rsidRDefault="006C5CA1" w:rsidP="00936244">
      <w:pPr>
        <w:jc w:val="both"/>
        <w:rPr>
          <w:b/>
          <w:lang w:val="en-US"/>
        </w:rPr>
      </w:pPr>
    </w:p>
    <w:p w14:paraId="3EA8E773" w14:textId="77777777" w:rsidR="006C5CA1" w:rsidRDefault="006C5CA1" w:rsidP="00936244">
      <w:pPr>
        <w:jc w:val="both"/>
        <w:rPr>
          <w:b/>
          <w:lang w:val="en-US"/>
        </w:rPr>
      </w:pPr>
    </w:p>
    <w:p w14:paraId="61036811" w14:textId="7EB39E7F" w:rsidR="00936244" w:rsidRDefault="00936244" w:rsidP="00936244">
      <w:pPr>
        <w:jc w:val="both"/>
        <w:rPr>
          <w:b/>
          <w:lang w:val="en-US"/>
        </w:rPr>
      </w:pPr>
      <w:r>
        <w:rPr>
          <w:b/>
          <w:lang w:val="en-US"/>
        </w:rPr>
        <w:t>Table S9.</w:t>
      </w:r>
      <w:r w:rsidRPr="00936244">
        <w:rPr>
          <w:lang w:val="en-US"/>
        </w:rPr>
        <w:t xml:space="preserve"> </w:t>
      </w:r>
      <w:r w:rsidRPr="00542F90">
        <w:rPr>
          <w:lang w:val="en-US"/>
        </w:rPr>
        <w:t>Distribution of mutagenic (red)</w:t>
      </w:r>
      <w:r>
        <w:rPr>
          <w:lang w:val="en-US"/>
        </w:rPr>
        <w:t>;</w:t>
      </w:r>
      <w:r w:rsidRPr="00542F90">
        <w:rPr>
          <w:lang w:val="en-US"/>
        </w:rPr>
        <w:t xml:space="preserve"> non-mutagenic (green) and </w:t>
      </w:r>
      <w:r>
        <w:rPr>
          <w:lang w:val="en-US"/>
        </w:rPr>
        <w:t>indeterminate</w:t>
      </w:r>
      <w:r w:rsidRPr="00542F90">
        <w:rPr>
          <w:lang w:val="en-US"/>
        </w:rPr>
        <w:t xml:space="preserve"> (grey) compounds between clusters and SOA classes.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749"/>
        <w:gridCol w:w="821"/>
        <w:gridCol w:w="993"/>
        <w:gridCol w:w="850"/>
        <w:gridCol w:w="851"/>
        <w:gridCol w:w="850"/>
        <w:gridCol w:w="851"/>
        <w:gridCol w:w="708"/>
        <w:gridCol w:w="851"/>
        <w:gridCol w:w="1276"/>
      </w:tblGrid>
      <w:tr w:rsidR="00936244" w:rsidRPr="002F2AD6" w14:paraId="0D656467" w14:textId="77777777" w:rsidTr="00936244">
        <w:tc>
          <w:tcPr>
            <w:tcW w:w="806" w:type="dxa"/>
            <w:shd w:val="pct25" w:color="auto" w:fill="auto"/>
          </w:tcPr>
          <w:p w14:paraId="5ABC34AF" w14:textId="77777777" w:rsidR="00936244" w:rsidRPr="00542F90" w:rsidRDefault="00936244" w:rsidP="00936244">
            <w:pPr>
              <w:spacing w:line="240" w:lineRule="atLeast"/>
              <w:jc w:val="center"/>
              <w:rPr>
                <w:b/>
                <w:color w:val="000000" w:themeColor="text1"/>
                <w:sz w:val="20"/>
                <w:szCs w:val="20"/>
                <w:lang w:val="en-US"/>
              </w:rPr>
            </w:pPr>
            <w:r w:rsidRPr="00936244">
              <w:rPr>
                <w:rFonts w:ascii="Calibri" w:hAnsi="Calibri" w:cs="Arial"/>
                <w:b/>
                <w:bCs/>
                <w:color w:val="000000" w:themeColor="text1"/>
                <w:kern w:val="24"/>
                <w:sz w:val="20"/>
                <w:szCs w:val="20"/>
                <w:lang w:val="en-US"/>
              </w:rPr>
              <w:t>Cluster</w:t>
            </w:r>
          </w:p>
        </w:tc>
        <w:tc>
          <w:tcPr>
            <w:tcW w:w="749" w:type="dxa"/>
            <w:shd w:val="pct25" w:color="auto" w:fill="auto"/>
          </w:tcPr>
          <w:p w14:paraId="013DF59E" w14:textId="77777777" w:rsidR="00936244" w:rsidRPr="00542F90" w:rsidRDefault="00936244" w:rsidP="00936244">
            <w:pPr>
              <w:spacing w:line="240" w:lineRule="atLeast"/>
              <w:jc w:val="both"/>
              <w:rPr>
                <w:b/>
                <w:color w:val="000000" w:themeColor="text1"/>
                <w:sz w:val="20"/>
                <w:szCs w:val="20"/>
                <w:lang w:val="en-US"/>
              </w:rPr>
            </w:pPr>
            <w:r w:rsidRPr="00936244">
              <w:rPr>
                <w:rFonts w:ascii="Calibri" w:hAnsi="Calibri" w:cs="Arial"/>
                <w:b/>
                <w:bCs/>
                <w:color w:val="000000" w:themeColor="text1"/>
                <w:kern w:val="24"/>
                <w:sz w:val="20"/>
                <w:szCs w:val="20"/>
                <w:lang w:val="en-US"/>
              </w:rPr>
              <w:t>Isoprene SOA</w:t>
            </w:r>
          </w:p>
        </w:tc>
        <w:tc>
          <w:tcPr>
            <w:tcW w:w="821" w:type="dxa"/>
            <w:shd w:val="pct25" w:color="auto" w:fill="auto"/>
          </w:tcPr>
          <w:p w14:paraId="41047249" w14:textId="77777777" w:rsidR="00936244" w:rsidRPr="00542F90" w:rsidRDefault="00936244" w:rsidP="00936244">
            <w:pPr>
              <w:spacing w:line="240" w:lineRule="atLeast"/>
              <w:jc w:val="both"/>
              <w:rPr>
                <w:b/>
                <w:color w:val="000000" w:themeColor="text1"/>
                <w:sz w:val="20"/>
                <w:szCs w:val="20"/>
                <w:lang w:val="en-US"/>
              </w:rPr>
            </w:pPr>
            <w:r w:rsidRPr="00936244">
              <w:rPr>
                <w:rFonts w:ascii="Calibri" w:hAnsi="Calibri" w:cs="Arial"/>
                <w:b/>
                <w:bCs/>
                <w:color w:val="000000" w:themeColor="text1"/>
                <w:kern w:val="24"/>
                <w:sz w:val="20"/>
                <w:szCs w:val="20"/>
                <w:lang w:val="en-US"/>
              </w:rPr>
              <w:t>Di-carbonyl SOA</w:t>
            </w:r>
          </w:p>
        </w:tc>
        <w:tc>
          <w:tcPr>
            <w:tcW w:w="993" w:type="dxa"/>
            <w:shd w:val="pct25" w:color="auto" w:fill="auto"/>
          </w:tcPr>
          <w:p w14:paraId="62A123B9" w14:textId="77777777" w:rsidR="00936244" w:rsidRPr="00542F90" w:rsidRDefault="00936244" w:rsidP="00936244">
            <w:pPr>
              <w:spacing w:line="240" w:lineRule="atLeast"/>
              <w:jc w:val="both"/>
              <w:rPr>
                <w:b/>
                <w:color w:val="000000" w:themeColor="text1"/>
                <w:sz w:val="20"/>
                <w:szCs w:val="20"/>
                <w:lang w:val="en-US"/>
              </w:rPr>
            </w:pPr>
            <w:r w:rsidRPr="00936244">
              <w:rPr>
                <w:rFonts w:ascii="Calibri" w:hAnsi="Calibri" w:cs="Arial"/>
                <w:b/>
                <w:bCs/>
                <w:color w:val="000000" w:themeColor="text1"/>
                <w:kern w:val="24"/>
                <w:sz w:val="20"/>
                <w:szCs w:val="20"/>
                <w:lang w:val="en-US"/>
              </w:rPr>
              <w:t>Mono-terp SOA</w:t>
            </w:r>
          </w:p>
        </w:tc>
        <w:tc>
          <w:tcPr>
            <w:tcW w:w="850" w:type="dxa"/>
            <w:shd w:val="pct25" w:color="auto" w:fill="auto"/>
          </w:tcPr>
          <w:p w14:paraId="5AE46744" w14:textId="77777777" w:rsidR="00936244" w:rsidRPr="00542F90" w:rsidRDefault="00936244" w:rsidP="00936244">
            <w:pPr>
              <w:spacing w:line="240" w:lineRule="atLeast"/>
              <w:jc w:val="both"/>
              <w:rPr>
                <w:b/>
                <w:color w:val="000000" w:themeColor="text1"/>
                <w:sz w:val="20"/>
                <w:szCs w:val="20"/>
                <w:lang w:val="en-US"/>
              </w:rPr>
            </w:pPr>
            <w:r w:rsidRPr="00936244">
              <w:rPr>
                <w:rFonts w:ascii="Calibri" w:hAnsi="Calibri" w:cs="Arial"/>
                <w:b/>
                <w:bCs/>
                <w:color w:val="000000" w:themeColor="text1"/>
                <w:kern w:val="24"/>
                <w:sz w:val="20"/>
                <w:szCs w:val="20"/>
                <w:lang w:val="en-US"/>
              </w:rPr>
              <w:t>Sesqui-terp SOA</w:t>
            </w:r>
          </w:p>
        </w:tc>
        <w:tc>
          <w:tcPr>
            <w:tcW w:w="851" w:type="dxa"/>
            <w:shd w:val="pct25" w:color="auto" w:fill="auto"/>
          </w:tcPr>
          <w:p w14:paraId="075A8D99" w14:textId="77777777" w:rsidR="00936244" w:rsidRPr="00542F90" w:rsidRDefault="00936244" w:rsidP="00936244">
            <w:pPr>
              <w:spacing w:line="240" w:lineRule="atLeast"/>
              <w:jc w:val="both"/>
              <w:rPr>
                <w:b/>
                <w:color w:val="000000" w:themeColor="text1"/>
                <w:sz w:val="20"/>
                <w:szCs w:val="20"/>
                <w:lang w:val="en-US"/>
              </w:rPr>
            </w:pPr>
            <w:r w:rsidRPr="00936244">
              <w:rPr>
                <w:rFonts w:ascii="Calibri" w:hAnsi="Calibri" w:cs="Arial"/>
                <w:b/>
                <w:bCs/>
                <w:color w:val="000000" w:themeColor="text1"/>
                <w:kern w:val="24"/>
                <w:sz w:val="20"/>
                <w:szCs w:val="20"/>
                <w:lang w:val="en-US"/>
              </w:rPr>
              <w:t>Alkene SOA</w:t>
            </w:r>
          </w:p>
        </w:tc>
        <w:tc>
          <w:tcPr>
            <w:tcW w:w="850" w:type="dxa"/>
            <w:shd w:val="pct25" w:color="auto" w:fill="auto"/>
          </w:tcPr>
          <w:p w14:paraId="37F6DDA8" w14:textId="77777777" w:rsidR="00936244" w:rsidRPr="00542F90" w:rsidRDefault="00936244" w:rsidP="00936244">
            <w:pPr>
              <w:spacing w:line="240" w:lineRule="atLeast"/>
              <w:jc w:val="both"/>
              <w:rPr>
                <w:b/>
                <w:color w:val="000000" w:themeColor="text1"/>
                <w:sz w:val="20"/>
                <w:szCs w:val="20"/>
                <w:lang w:val="en-US"/>
              </w:rPr>
            </w:pPr>
            <w:r w:rsidRPr="00936244">
              <w:rPr>
                <w:rFonts w:ascii="Calibri" w:hAnsi="Calibri" w:cs="Arial"/>
                <w:b/>
                <w:bCs/>
                <w:color w:val="000000" w:themeColor="text1"/>
                <w:kern w:val="24"/>
                <w:sz w:val="20"/>
                <w:szCs w:val="20"/>
                <w:lang w:val="en-US"/>
              </w:rPr>
              <w:t>Alkane SOA</w:t>
            </w:r>
          </w:p>
        </w:tc>
        <w:tc>
          <w:tcPr>
            <w:tcW w:w="851" w:type="dxa"/>
            <w:shd w:val="pct25" w:color="auto" w:fill="auto"/>
          </w:tcPr>
          <w:p w14:paraId="14A23CEB" w14:textId="77777777" w:rsidR="00936244" w:rsidRPr="00542F90" w:rsidRDefault="00936244" w:rsidP="00936244">
            <w:pPr>
              <w:spacing w:line="240" w:lineRule="atLeast"/>
              <w:jc w:val="both"/>
              <w:rPr>
                <w:b/>
                <w:color w:val="000000" w:themeColor="text1"/>
                <w:sz w:val="20"/>
                <w:szCs w:val="20"/>
                <w:lang w:val="en-US"/>
              </w:rPr>
            </w:pPr>
            <w:r w:rsidRPr="002F2AD6">
              <w:rPr>
                <w:rFonts w:ascii="Calibri" w:hAnsi="Calibri" w:cs="Arial"/>
                <w:b/>
                <w:bCs/>
                <w:color w:val="000000" w:themeColor="text1"/>
                <w:kern w:val="24"/>
                <w:sz w:val="20"/>
                <w:szCs w:val="20"/>
                <w:lang w:val="en-US"/>
              </w:rPr>
              <w:t>Subst. benzene SOA</w:t>
            </w:r>
          </w:p>
        </w:tc>
        <w:tc>
          <w:tcPr>
            <w:tcW w:w="708" w:type="dxa"/>
            <w:shd w:val="pct25" w:color="auto" w:fill="auto"/>
          </w:tcPr>
          <w:p w14:paraId="2F07B068" w14:textId="77777777" w:rsidR="00936244" w:rsidRPr="00542F90" w:rsidRDefault="00936244" w:rsidP="00936244">
            <w:pPr>
              <w:spacing w:line="240" w:lineRule="atLeast"/>
              <w:jc w:val="both"/>
              <w:rPr>
                <w:b/>
                <w:color w:val="000000" w:themeColor="text1"/>
                <w:sz w:val="20"/>
                <w:szCs w:val="20"/>
                <w:lang w:val="en-US"/>
              </w:rPr>
            </w:pPr>
            <w:r w:rsidRPr="006A61D8">
              <w:rPr>
                <w:rFonts w:ascii="Calibri" w:hAnsi="Calibri" w:cs="Arial"/>
                <w:b/>
                <w:bCs/>
                <w:color w:val="000000" w:themeColor="text1"/>
                <w:kern w:val="24"/>
                <w:sz w:val="20"/>
                <w:szCs w:val="20"/>
                <w:lang w:val="en-US"/>
              </w:rPr>
              <w:t>low MW PAH SOA</w:t>
            </w:r>
          </w:p>
        </w:tc>
        <w:tc>
          <w:tcPr>
            <w:tcW w:w="851" w:type="dxa"/>
            <w:shd w:val="pct25" w:color="auto" w:fill="auto"/>
          </w:tcPr>
          <w:p w14:paraId="55073FA0" w14:textId="77777777" w:rsidR="00936244" w:rsidRPr="00542F90" w:rsidRDefault="00936244" w:rsidP="00936244">
            <w:pPr>
              <w:spacing w:line="240" w:lineRule="atLeast"/>
              <w:jc w:val="both"/>
              <w:rPr>
                <w:b/>
                <w:color w:val="000000" w:themeColor="text1"/>
                <w:sz w:val="20"/>
                <w:szCs w:val="20"/>
                <w:lang w:val="en-US"/>
              </w:rPr>
            </w:pPr>
            <w:r w:rsidRPr="006A61D8">
              <w:rPr>
                <w:rFonts w:ascii="Calibri" w:hAnsi="Calibri" w:cs="Arial"/>
                <w:b/>
                <w:bCs/>
                <w:color w:val="000000" w:themeColor="text1"/>
                <w:kern w:val="24"/>
                <w:sz w:val="20"/>
                <w:szCs w:val="20"/>
                <w:lang w:val="en-US"/>
              </w:rPr>
              <w:t>amine SOA</w:t>
            </w:r>
          </w:p>
        </w:tc>
        <w:tc>
          <w:tcPr>
            <w:tcW w:w="1276" w:type="dxa"/>
            <w:shd w:val="pct25" w:color="auto" w:fill="auto"/>
          </w:tcPr>
          <w:p w14:paraId="1220BFA9" w14:textId="77777777" w:rsidR="00936244" w:rsidRPr="006A61D8" w:rsidRDefault="00936244" w:rsidP="00936244">
            <w:pPr>
              <w:spacing w:after="160" w:line="240" w:lineRule="atLeast"/>
              <w:jc w:val="center"/>
              <w:rPr>
                <w:rFonts w:ascii="Calibri" w:hAnsi="Calibri" w:cs="Arial"/>
                <w:b/>
                <w:bCs/>
                <w:color w:val="000000" w:themeColor="text1"/>
                <w:kern w:val="24"/>
                <w:sz w:val="20"/>
                <w:szCs w:val="20"/>
                <w:lang w:val="en-US"/>
              </w:rPr>
            </w:pPr>
            <w:r w:rsidRPr="006A61D8">
              <w:rPr>
                <w:rFonts w:ascii="Calibri" w:hAnsi="Calibri" w:cs="Arial"/>
                <w:b/>
                <w:bCs/>
                <w:color w:val="000000" w:themeColor="text1"/>
                <w:kern w:val="24"/>
                <w:sz w:val="20"/>
                <w:szCs w:val="20"/>
                <w:lang w:val="en-US"/>
              </w:rPr>
              <w:t>total</w:t>
            </w:r>
          </w:p>
        </w:tc>
      </w:tr>
      <w:tr w:rsidR="00936244" w:rsidRPr="002F2AD6" w14:paraId="16D41CAF" w14:textId="77777777" w:rsidTr="00936244">
        <w:tc>
          <w:tcPr>
            <w:tcW w:w="806" w:type="dxa"/>
          </w:tcPr>
          <w:p w14:paraId="05C98B21"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color w:val="000000" w:themeColor="dark1"/>
                <w:kern w:val="24"/>
                <w:sz w:val="20"/>
                <w:szCs w:val="20"/>
                <w:lang w:val="en-US"/>
              </w:rPr>
              <w:t>0</w:t>
            </w:r>
          </w:p>
        </w:tc>
        <w:tc>
          <w:tcPr>
            <w:tcW w:w="749" w:type="dxa"/>
          </w:tcPr>
          <w:p w14:paraId="1FEB1DF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19E8A628"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0D3B0CD3"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bCs/>
                <w:color w:val="FF0000"/>
                <w:kern w:val="24"/>
                <w:sz w:val="20"/>
                <w:szCs w:val="20"/>
                <w:lang w:val="en-US"/>
              </w:rPr>
              <w:t xml:space="preserve">2 </w:t>
            </w:r>
            <w:r w:rsidRPr="006A61D8">
              <w:rPr>
                <w:rFonts w:ascii="Calibri" w:hAnsi="Calibri" w:cs="Arial"/>
                <w:b/>
                <w:bCs/>
                <w:color w:val="000000" w:themeColor="text1"/>
                <w:kern w:val="24"/>
                <w:sz w:val="20"/>
                <w:szCs w:val="20"/>
                <w:lang w:val="en-US"/>
              </w:rPr>
              <w:t xml:space="preserve">+ </w:t>
            </w:r>
            <w:r w:rsidRPr="006A61D8">
              <w:rPr>
                <w:rFonts w:ascii="Calibri" w:hAnsi="Calibri" w:cs="Arial"/>
                <w:b/>
                <w:bCs/>
                <w:color w:val="00B050"/>
                <w:kern w:val="24"/>
                <w:sz w:val="20"/>
                <w:szCs w:val="20"/>
                <w:lang w:val="en-US"/>
              </w:rPr>
              <w:t>1</w:t>
            </w:r>
          </w:p>
        </w:tc>
        <w:tc>
          <w:tcPr>
            <w:tcW w:w="850" w:type="dxa"/>
          </w:tcPr>
          <w:p w14:paraId="2D67A849"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7CAFC3BF"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7DF55E4F"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492FFA8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50A9FFC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24C74C9E"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0CD30784" w14:textId="77777777" w:rsidR="00936244" w:rsidRPr="002F2AD6"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color w:val="000000" w:themeColor="dark1"/>
                <w:kern w:val="24"/>
                <w:sz w:val="20"/>
                <w:szCs w:val="20"/>
                <w:lang w:val="en-US"/>
              </w:rPr>
              <w:t>3 (</w:t>
            </w:r>
            <w:r w:rsidRPr="006A61D8">
              <w:rPr>
                <w:rFonts w:ascii="Calibri" w:hAnsi="Calibri" w:cs="Arial"/>
                <w:b/>
                <w:color w:val="FF0000"/>
                <w:kern w:val="24"/>
                <w:sz w:val="20"/>
                <w:szCs w:val="20"/>
                <w:lang w:val="en-US"/>
              </w:rPr>
              <w:t>2</w:t>
            </w:r>
            <w:r w:rsidRPr="006A61D8">
              <w:rPr>
                <w:rFonts w:ascii="Calibri" w:hAnsi="Calibri" w:cs="Arial"/>
                <w:b/>
                <w:color w:val="000000" w:themeColor="dark1"/>
                <w:kern w:val="24"/>
                <w:sz w:val="20"/>
                <w:szCs w:val="20"/>
                <w:lang w:val="en-US"/>
              </w:rPr>
              <w:t xml:space="preserve"> + </w:t>
            </w:r>
            <w:r w:rsidRPr="006A61D8">
              <w:rPr>
                <w:rFonts w:ascii="Calibri" w:hAnsi="Calibri" w:cs="Arial"/>
                <w:b/>
                <w:color w:val="00B050"/>
                <w:kern w:val="24"/>
                <w:sz w:val="20"/>
                <w:szCs w:val="20"/>
                <w:lang w:val="en-US"/>
              </w:rPr>
              <w:t>1</w:t>
            </w:r>
            <w:r w:rsidRPr="006A61D8">
              <w:rPr>
                <w:rFonts w:ascii="Calibri" w:hAnsi="Calibri" w:cs="Arial"/>
                <w:b/>
                <w:color w:val="000000" w:themeColor="dark1"/>
                <w:kern w:val="24"/>
                <w:sz w:val="20"/>
                <w:szCs w:val="20"/>
                <w:lang w:val="en-US"/>
              </w:rPr>
              <w:t>)</w:t>
            </w:r>
          </w:p>
        </w:tc>
      </w:tr>
      <w:tr w:rsidR="00936244" w:rsidRPr="002F2AD6" w14:paraId="65D731EA" w14:textId="77777777" w:rsidTr="00936244">
        <w:tc>
          <w:tcPr>
            <w:tcW w:w="806" w:type="dxa"/>
          </w:tcPr>
          <w:p w14:paraId="625D3539"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color w:val="000000" w:themeColor="dark1"/>
                <w:kern w:val="24"/>
                <w:sz w:val="20"/>
                <w:szCs w:val="20"/>
                <w:lang w:val="en-US"/>
              </w:rPr>
              <w:t>1</w:t>
            </w:r>
          </w:p>
        </w:tc>
        <w:tc>
          <w:tcPr>
            <w:tcW w:w="749" w:type="dxa"/>
          </w:tcPr>
          <w:p w14:paraId="2CCFA8C5"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358A57F9"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175DAD19"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7FC6500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75F9F6D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118044BE"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0D9F96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4540B53C"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bCs/>
                <w:color w:val="FF0000"/>
                <w:kern w:val="24"/>
                <w:sz w:val="20"/>
                <w:szCs w:val="20"/>
                <w:lang w:val="en-US"/>
              </w:rPr>
              <w:t>3</w:t>
            </w:r>
          </w:p>
        </w:tc>
        <w:tc>
          <w:tcPr>
            <w:tcW w:w="851" w:type="dxa"/>
          </w:tcPr>
          <w:p w14:paraId="5E75A51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624AACE1" w14:textId="77777777" w:rsidR="00936244" w:rsidRPr="002F2AD6"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color w:val="FF0000"/>
                <w:kern w:val="24"/>
                <w:sz w:val="20"/>
                <w:szCs w:val="20"/>
                <w:lang w:val="en-US"/>
              </w:rPr>
              <w:t>3</w:t>
            </w:r>
          </w:p>
        </w:tc>
      </w:tr>
      <w:tr w:rsidR="00936244" w:rsidRPr="002F2AD6" w14:paraId="349BDD5B" w14:textId="77777777" w:rsidTr="00936244">
        <w:tc>
          <w:tcPr>
            <w:tcW w:w="806" w:type="dxa"/>
          </w:tcPr>
          <w:p w14:paraId="0BA2D9B8"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color w:val="000000" w:themeColor="dark1"/>
                <w:kern w:val="24"/>
                <w:sz w:val="20"/>
                <w:szCs w:val="20"/>
                <w:lang w:val="en-US"/>
              </w:rPr>
              <w:t>2</w:t>
            </w:r>
          </w:p>
        </w:tc>
        <w:tc>
          <w:tcPr>
            <w:tcW w:w="749" w:type="dxa"/>
          </w:tcPr>
          <w:p w14:paraId="0187170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368C11D5"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3694F67E"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0BC1041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6C772D4"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2C8CDB86"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32CE7979"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3616EFF9"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2900F535"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bCs/>
                <w:color w:val="FF0000"/>
                <w:kern w:val="24"/>
                <w:sz w:val="20"/>
                <w:szCs w:val="20"/>
                <w:lang w:val="en-US"/>
              </w:rPr>
              <w:t>5</w:t>
            </w:r>
          </w:p>
        </w:tc>
        <w:tc>
          <w:tcPr>
            <w:tcW w:w="1276" w:type="dxa"/>
          </w:tcPr>
          <w:p w14:paraId="24CBAC40" w14:textId="77777777" w:rsidR="00936244" w:rsidRPr="006A61D8" w:rsidRDefault="00936244" w:rsidP="00936244">
            <w:pPr>
              <w:spacing w:before="100" w:beforeAutospacing="1" w:after="100" w:afterAutospacing="1" w:line="240" w:lineRule="atLeast"/>
              <w:jc w:val="center"/>
              <w:rPr>
                <w:rFonts w:ascii="Calibri" w:hAnsi="Calibri" w:cs="Arial"/>
                <w:b/>
                <w:bCs/>
                <w:color w:val="FF0000"/>
                <w:kern w:val="24"/>
                <w:sz w:val="20"/>
                <w:szCs w:val="20"/>
                <w:lang w:val="en-US"/>
              </w:rPr>
            </w:pPr>
            <w:r w:rsidRPr="006A61D8">
              <w:rPr>
                <w:rFonts w:ascii="Calibri" w:hAnsi="Calibri" w:cs="Arial"/>
                <w:b/>
                <w:color w:val="FF0000"/>
                <w:kern w:val="24"/>
                <w:sz w:val="20"/>
                <w:szCs w:val="20"/>
                <w:lang w:val="en-US"/>
              </w:rPr>
              <w:t>5</w:t>
            </w:r>
          </w:p>
        </w:tc>
      </w:tr>
      <w:tr w:rsidR="00936244" w:rsidRPr="002F2AD6" w14:paraId="5304EB74" w14:textId="77777777" w:rsidTr="00936244">
        <w:tc>
          <w:tcPr>
            <w:tcW w:w="806" w:type="dxa"/>
          </w:tcPr>
          <w:p w14:paraId="5A87B82F"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color w:val="000000" w:themeColor="dark1"/>
                <w:kern w:val="24"/>
                <w:sz w:val="20"/>
                <w:szCs w:val="20"/>
                <w:lang w:val="en-US"/>
              </w:rPr>
              <w:t>3</w:t>
            </w:r>
          </w:p>
        </w:tc>
        <w:tc>
          <w:tcPr>
            <w:tcW w:w="749" w:type="dxa"/>
          </w:tcPr>
          <w:p w14:paraId="23B1D1E5"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77CE0A77"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bCs/>
                <w:color w:val="7F7F7F" w:themeColor="text1" w:themeTint="80"/>
                <w:kern w:val="24"/>
                <w:sz w:val="20"/>
                <w:szCs w:val="20"/>
                <w:lang w:val="en-US"/>
              </w:rPr>
              <w:t>1</w:t>
            </w:r>
          </w:p>
        </w:tc>
        <w:tc>
          <w:tcPr>
            <w:tcW w:w="993" w:type="dxa"/>
          </w:tcPr>
          <w:p w14:paraId="367473F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2C927506"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9A01EEE"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5ECF4954"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513D168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2F96DC71"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bCs/>
                <w:color w:val="FF0000"/>
                <w:kern w:val="24"/>
                <w:sz w:val="20"/>
                <w:szCs w:val="20"/>
                <w:lang w:val="en-US"/>
              </w:rPr>
              <w:t>5</w:t>
            </w:r>
          </w:p>
        </w:tc>
        <w:tc>
          <w:tcPr>
            <w:tcW w:w="851" w:type="dxa"/>
          </w:tcPr>
          <w:p w14:paraId="49939DE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3F1CE834" w14:textId="77777777" w:rsidR="00936244" w:rsidRPr="002F2AD6"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color w:val="000000" w:themeColor="dark1"/>
                <w:kern w:val="24"/>
                <w:sz w:val="20"/>
                <w:szCs w:val="20"/>
                <w:lang w:val="en-US"/>
              </w:rPr>
              <w:t>6 (</w:t>
            </w:r>
            <w:r w:rsidRPr="006A61D8">
              <w:rPr>
                <w:rFonts w:ascii="Calibri" w:hAnsi="Calibri" w:cs="Arial"/>
                <w:b/>
                <w:color w:val="808080" w:themeColor="background1" w:themeShade="80"/>
                <w:kern w:val="24"/>
                <w:sz w:val="20"/>
                <w:szCs w:val="20"/>
                <w:lang w:val="en-US"/>
              </w:rPr>
              <w:t>1</w:t>
            </w:r>
            <w:r w:rsidRPr="006A61D8">
              <w:rPr>
                <w:rFonts w:ascii="Calibri" w:hAnsi="Calibri" w:cs="Arial"/>
                <w:b/>
                <w:color w:val="000000" w:themeColor="dark1"/>
                <w:kern w:val="24"/>
                <w:sz w:val="20"/>
                <w:szCs w:val="20"/>
                <w:lang w:val="en-US"/>
              </w:rPr>
              <w:t xml:space="preserve"> + </w:t>
            </w:r>
            <w:r w:rsidRPr="006A61D8">
              <w:rPr>
                <w:rFonts w:ascii="Calibri" w:hAnsi="Calibri" w:cs="Arial"/>
                <w:b/>
                <w:color w:val="FF0000"/>
                <w:kern w:val="24"/>
                <w:sz w:val="20"/>
                <w:szCs w:val="20"/>
                <w:lang w:val="en-US"/>
              </w:rPr>
              <w:t>5</w:t>
            </w:r>
            <w:r w:rsidRPr="006A61D8">
              <w:rPr>
                <w:rFonts w:ascii="Calibri" w:hAnsi="Calibri" w:cs="Arial"/>
                <w:b/>
                <w:color w:val="000000" w:themeColor="dark1"/>
                <w:kern w:val="24"/>
                <w:sz w:val="20"/>
                <w:szCs w:val="20"/>
                <w:lang w:val="en-US"/>
              </w:rPr>
              <w:t>)</w:t>
            </w:r>
          </w:p>
        </w:tc>
      </w:tr>
      <w:tr w:rsidR="00936244" w14:paraId="63027C35" w14:textId="77777777" w:rsidTr="00936244">
        <w:tc>
          <w:tcPr>
            <w:tcW w:w="806" w:type="dxa"/>
          </w:tcPr>
          <w:p w14:paraId="7EC9B5CD"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color w:val="000000" w:themeColor="dark1"/>
                <w:kern w:val="24"/>
                <w:sz w:val="20"/>
                <w:szCs w:val="20"/>
                <w:lang w:val="en-US"/>
              </w:rPr>
              <w:t>4</w:t>
            </w:r>
          </w:p>
        </w:tc>
        <w:tc>
          <w:tcPr>
            <w:tcW w:w="749" w:type="dxa"/>
          </w:tcPr>
          <w:p w14:paraId="1B50728F"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78479FC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6ECA8317"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6A1400D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1C7213B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5F6A85B4"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149835C4"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2E535ED8" w14:textId="77777777" w:rsidR="00936244" w:rsidRPr="00542F90" w:rsidRDefault="00936244" w:rsidP="00936244">
            <w:pPr>
              <w:spacing w:before="100" w:beforeAutospacing="1" w:after="100" w:afterAutospacing="1" w:line="240" w:lineRule="atLeast"/>
              <w:jc w:val="center"/>
              <w:rPr>
                <w:b/>
                <w:sz w:val="20"/>
                <w:szCs w:val="20"/>
                <w:lang w:val="en-US"/>
              </w:rPr>
            </w:pPr>
            <w:r w:rsidRPr="006A61D8">
              <w:rPr>
                <w:rFonts w:ascii="Calibri" w:hAnsi="Calibri" w:cs="Arial"/>
                <w:b/>
                <w:bCs/>
                <w:color w:val="7F7F7F" w:themeColor="text1" w:themeTint="80"/>
                <w:kern w:val="24"/>
                <w:sz w:val="20"/>
                <w:szCs w:val="20"/>
                <w:lang w:val="en-US"/>
              </w:rPr>
              <w:t xml:space="preserve">4 </w:t>
            </w:r>
            <w:r w:rsidRPr="006A61D8">
              <w:rPr>
                <w:rFonts w:ascii="Calibri" w:hAnsi="Calibri" w:cs="Arial"/>
                <w:b/>
                <w:bCs/>
                <w:color w:val="000000" w:themeColor="text1"/>
                <w:kern w:val="24"/>
                <w:sz w:val="20"/>
                <w:szCs w:val="20"/>
                <w:lang w:val="en-US"/>
              </w:rPr>
              <w:t>+</w:t>
            </w:r>
            <w:r w:rsidRPr="006A61D8">
              <w:rPr>
                <w:rFonts w:ascii="Calibri" w:hAnsi="Calibri" w:cs="Arial"/>
                <w:b/>
                <w:bCs/>
                <w:color w:val="7F7F7F" w:themeColor="text1" w:themeTint="80"/>
                <w:kern w:val="24"/>
                <w:sz w:val="20"/>
                <w:szCs w:val="20"/>
                <w:lang w:val="en-US"/>
              </w:rPr>
              <w:t xml:space="preserve"> </w:t>
            </w:r>
            <w:r w:rsidRPr="006A61D8">
              <w:rPr>
                <w:rFonts w:ascii="Calibri" w:hAnsi="Calibri" w:cs="Arial"/>
                <w:b/>
                <w:bCs/>
                <w:color w:val="00B050"/>
                <w:kern w:val="24"/>
                <w:sz w:val="20"/>
                <w:szCs w:val="20"/>
                <w:lang w:val="en-US"/>
              </w:rPr>
              <w:t>1</w:t>
            </w:r>
          </w:p>
        </w:tc>
        <w:tc>
          <w:tcPr>
            <w:tcW w:w="851" w:type="dxa"/>
          </w:tcPr>
          <w:p w14:paraId="4F6A589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3DD65833" w14:textId="77777777" w:rsidR="00936244" w:rsidRPr="002F2AD6" w:rsidRDefault="00936244" w:rsidP="00936244">
            <w:pPr>
              <w:spacing w:before="100" w:beforeAutospacing="1" w:after="100" w:afterAutospacing="1" w:line="240" w:lineRule="atLeast"/>
              <w:jc w:val="center"/>
              <w:rPr>
                <w:b/>
                <w:sz w:val="20"/>
                <w:szCs w:val="20"/>
                <w:lang w:val="en-US"/>
              </w:rPr>
            </w:pPr>
            <w:r w:rsidRPr="002F2AD6">
              <w:rPr>
                <w:b/>
                <w:sz w:val="20"/>
                <w:szCs w:val="20"/>
                <w:lang w:val="en-US"/>
              </w:rPr>
              <w:t>5</w:t>
            </w:r>
            <w:r>
              <w:rPr>
                <w:b/>
                <w:sz w:val="20"/>
                <w:szCs w:val="20"/>
                <w:lang w:val="en-US"/>
              </w:rPr>
              <w:t xml:space="preserve"> (</w:t>
            </w:r>
            <w:r w:rsidRPr="002F2AD6">
              <w:rPr>
                <w:b/>
                <w:color w:val="808080" w:themeColor="background1" w:themeShade="80"/>
                <w:sz w:val="20"/>
                <w:szCs w:val="20"/>
                <w:lang w:val="en-US"/>
              </w:rPr>
              <w:t>4</w:t>
            </w:r>
            <w:r>
              <w:rPr>
                <w:b/>
                <w:sz w:val="20"/>
                <w:szCs w:val="20"/>
                <w:lang w:val="en-US"/>
              </w:rPr>
              <w:t xml:space="preserve"> + </w:t>
            </w:r>
            <w:r w:rsidRPr="002F2AD6">
              <w:rPr>
                <w:b/>
                <w:color w:val="00B050"/>
                <w:sz w:val="20"/>
                <w:szCs w:val="20"/>
                <w:lang w:val="en-US"/>
              </w:rPr>
              <w:t>1</w:t>
            </w:r>
            <w:r>
              <w:rPr>
                <w:b/>
                <w:sz w:val="20"/>
                <w:szCs w:val="20"/>
                <w:lang w:val="en-US"/>
              </w:rPr>
              <w:t>)</w:t>
            </w:r>
          </w:p>
        </w:tc>
      </w:tr>
      <w:tr w:rsidR="00936244" w14:paraId="34349271" w14:textId="77777777" w:rsidTr="00936244">
        <w:tc>
          <w:tcPr>
            <w:tcW w:w="806" w:type="dxa"/>
          </w:tcPr>
          <w:p w14:paraId="7163FBBB"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5</w:t>
            </w:r>
          </w:p>
        </w:tc>
        <w:tc>
          <w:tcPr>
            <w:tcW w:w="749" w:type="dxa"/>
          </w:tcPr>
          <w:p w14:paraId="23BD2627"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2A6D6B54"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7F7F7F" w:themeColor="text1" w:themeTint="80"/>
                <w:kern w:val="24"/>
                <w:sz w:val="20"/>
                <w:szCs w:val="20"/>
              </w:rPr>
              <w:t>1</w:t>
            </w:r>
          </w:p>
        </w:tc>
        <w:tc>
          <w:tcPr>
            <w:tcW w:w="993" w:type="dxa"/>
          </w:tcPr>
          <w:p w14:paraId="42BB4218"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00B050"/>
                <w:kern w:val="24"/>
                <w:sz w:val="20"/>
                <w:szCs w:val="20"/>
              </w:rPr>
              <w:t>2</w:t>
            </w:r>
          </w:p>
        </w:tc>
        <w:tc>
          <w:tcPr>
            <w:tcW w:w="850" w:type="dxa"/>
          </w:tcPr>
          <w:p w14:paraId="24E35EA0"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41B1D3A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5E126C7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3D8CCAF"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2F30FDD0"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585DCC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7B74357A" w14:textId="77777777"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0000" w:themeColor="dark1"/>
                <w:kern w:val="24"/>
                <w:sz w:val="20"/>
                <w:szCs w:val="20"/>
              </w:rPr>
              <w:t>3</w:t>
            </w:r>
            <w:r>
              <w:rPr>
                <w:rFonts w:ascii="Calibri" w:hAnsi="Calibri" w:cs="Arial"/>
                <w:b/>
                <w:color w:val="000000" w:themeColor="dark1"/>
                <w:kern w:val="24"/>
                <w:sz w:val="20"/>
                <w:szCs w:val="20"/>
              </w:rPr>
              <w:t xml:space="preserve"> (</w:t>
            </w:r>
            <w:r w:rsidRPr="002F2AD6">
              <w:rPr>
                <w:rFonts w:ascii="Calibri" w:hAnsi="Calibri" w:cs="Arial"/>
                <w:b/>
                <w:color w:val="808080" w:themeColor="background1" w:themeShade="80"/>
                <w:kern w:val="24"/>
                <w:sz w:val="20"/>
                <w:szCs w:val="20"/>
              </w:rPr>
              <w:t>1</w:t>
            </w:r>
            <w:r>
              <w:rPr>
                <w:rFonts w:ascii="Calibri" w:hAnsi="Calibri" w:cs="Arial"/>
                <w:b/>
                <w:color w:val="000000" w:themeColor="dark1"/>
                <w:kern w:val="24"/>
                <w:sz w:val="20"/>
                <w:szCs w:val="20"/>
              </w:rPr>
              <w:t xml:space="preserve"> + </w:t>
            </w:r>
            <w:r w:rsidRPr="002F2AD6">
              <w:rPr>
                <w:rFonts w:ascii="Calibri" w:hAnsi="Calibri" w:cs="Arial"/>
                <w:b/>
                <w:color w:val="00B050"/>
                <w:kern w:val="24"/>
                <w:sz w:val="20"/>
                <w:szCs w:val="20"/>
              </w:rPr>
              <w:t>2</w:t>
            </w:r>
            <w:r>
              <w:rPr>
                <w:rFonts w:ascii="Calibri" w:hAnsi="Calibri" w:cs="Arial"/>
                <w:b/>
                <w:color w:val="000000" w:themeColor="dark1"/>
                <w:kern w:val="24"/>
                <w:sz w:val="20"/>
                <w:szCs w:val="20"/>
              </w:rPr>
              <w:t>)</w:t>
            </w:r>
          </w:p>
        </w:tc>
      </w:tr>
      <w:tr w:rsidR="00936244" w14:paraId="4E9E90C3" w14:textId="77777777" w:rsidTr="00936244">
        <w:tc>
          <w:tcPr>
            <w:tcW w:w="806" w:type="dxa"/>
          </w:tcPr>
          <w:p w14:paraId="5FE2BC1C"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6</w:t>
            </w:r>
          </w:p>
        </w:tc>
        <w:tc>
          <w:tcPr>
            <w:tcW w:w="749" w:type="dxa"/>
          </w:tcPr>
          <w:p w14:paraId="18576DD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6D1CB720"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01AA3C6B"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00B050"/>
                <w:kern w:val="24"/>
                <w:sz w:val="20"/>
                <w:szCs w:val="20"/>
              </w:rPr>
              <w:t>2</w:t>
            </w:r>
          </w:p>
        </w:tc>
        <w:tc>
          <w:tcPr>
            <w:tcW w:w="850" w:type="dxa"/>
          </w:tcPr>
          <w:p w14:paraId="7ADC76A9"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76C12E86"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6C22BD18"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BBD29A6"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72F3766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1116678"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1394CD8F" w14:textId="77777777"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B050"/>
                <w:kern w:val="24"/>
                <w:sz w:val="20"/>
                <w:szCs w:val="20"/>
              </w:rPr>
              <w:t>2</w:t>
            </w:r>
          </w:p>
        </w:tc>
      </w:tr>
      <w:tr w:rsidR="00936244" w14:paraId="3520C8E5" w14:textId="77777777" w:rsidTr="00936244">
        <w:tc>
          <w:tcPr>
            <w:tcW w:w="806" w:type="dxa"/>
          </w:tcPr>
          <w:p w14:paraId="34245574"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7</w:t>
            </w:r>
          </w:p>
        </w:tc>
        <w:tc>
          <w:tcPr>
            <w:tcW w:w="749" w:type="dxa"/>
          </w:tcPr>
          <w:p w14:paraId="70EF25BE"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2187EBBA"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766B023A"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1</w:t>
            </w:r>
          </w:p>
        </w:tc>
        <w:tc>
          <w:tcPr>
            <w:tcW w:w="850" w:type="dxa"/>
          </w:tcPr>
          <w:p w14:paraId="02416C1A"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22DCCCD5"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0BAAC16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30C960FC"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5</w:t>
            </w:r>
          </w:p>
        </w:tc>
        <w:tc>
          <w:tcPr>
            <w:tcW w:w="708" w:type="dxa"/>
          </w:tcPr>
          <w:p w14:paraId="389A669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165F37F4"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5DF257D7" w14:textId="77777777"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FF0000"/>
                <w:kern w:val="24"/>
                <w:sz w:val="20"/>
                <w:szCs w:val="20"/>
              </w:rPr>
              <w:t>6</w:t>
            </w:r>
          </w:p>
        </w:tc>
      </w:tr>
      <w:tr w:rsidR="00936244" w14:paraId="7FA47B9B" w14:textId="77777777" w:rsidTr="00936244">
        <w:tc>
          <w:tcPr>
            <w:tcW w:w="806" w:type="dxa"/>
          </w:tcPr>
          <w:p w14:paraId="45C7C159"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8</w:t>
            </w:r>
          </w:p>
        </w:tc>
        <w:tc>
          <w:tcPr>
            <w:tcW w:w="749" w:type="dxa"/>
          </w:tcPr>
          <w:p w14:paraId="1B514A1A" w14:textId="77777777" w:rsidR="00936244" w:rsidRPr="00542F90" w:rsidRDefault="00936244" w:rsidP="00936244">
            <w:pPr>
              <w:spacing w:before="100" w:beforeAutospacing="1" w:after="100" w:afterAutospacing="1" w:line="240" w:lineRule="atLeast"/>
              <w:jc w:val="both"/>
              <w:rPr>
                <w:b/>
                <w:sz w:val="20"/>
                <w:szCs w:val="20"/>
                <w:lang w:val="en-US"/>
              </w:rPr>
            </w:pPr>
          </w:p>
        </w:tc>
        <w:tc>
          <w:tcPr>
            <w:tcW w:w="821" w:type="dxa"/>
          </w:tcPr>
          <w:p w14:paraId="189487F6" w14:textId="77777777" w:rsidR="00936244" w:rsidRPr="00542F90" w:rsidRDefault="00936244" w:rsidP="00936244">
            <w:pPr>
              <w:spacing w:before="100" w:beforeAutospacing="1" w:after="100" w:afterAutospacing="1" w:line="240" w:lineRule="atLeast"/>
              <w:jc w:val="both"/>
              <w:rPr>
                <w:b/>
                <w:sz w:val="20"/>
                <w:szCs w:val="20"/>
                <w:lang w:val="en-US"/>
              </w:rPr>
            </w:pPr>
          </w:p>
        </w:tc>
        <w:tc>
          <w:tcPr>
            <w:tcW w:w="993" w:type="dxa"/>
          </w:tcPr>
          <w:p w14:paraId="1530AAE8" w14:textId="31CC04F3" w:rsidR="00936244" w:rsidRPr="00542F90" w:rsidRDefault="00936244" w:rsidP="00936244">
            <w:pPr>
              <w:spacing w:before="100" w:beforeAutospacing="1" w:after="100" w:afterAutospacing="1" w:line="240" w:lineRule="atLeast"/>
              <w:jc w:val="both"/>
              <w:rPr>
                <w:b/>
                <w:sz w:val="20"/>
                <w:szCs w:val="20"/>
                <w:lang w:val="en-US"/>
              </w:rPr>
            </w:pPr>
            <w:r w:rsidRPr="00542F90">
              <w:rPr>
                <w:rFonts w:ascii="Calibri" w:hAnsi="Calibri" w:cs="Arial"/>
                <w:b/>
                <w:bCs/>
                <w:color w:val="FF0000"/>
                <w:kern w:val="24"/>
                <w:sz w:val="20"/>
                <w:szCs w:val="20"/>
              </w:rPr>
              <w:t>1</w:t>
            </w:r>
            <w:r w:rsidRPr="00542F90">
              <w:rPr>
                <w:rFonts w:ascii="Calibri" w:hAnsi="Calibri" w:cs="Arial"/>
                <w:b/>
                <w:bCs/>
                <w:color w:val="000000" w:themeColor="text1"/>
                <w:kern w:val="24"/>
                <w:sz w:val="20"/>
                <w:szCs w:val="20"/>
              </w:rPr>
              <w:t xml:space="preserve"> + </w:t>
            </w:r>
            <w:r w:rsidRPr="00542F90">
              <w:rPr>
                <w:rFonts w:ascii="Calibri" w:hAnsi="Calibri" w:cs="Arial"/>
                <w:b/>
                <w:bCs/>
                <w:color w:val="7F7F7F" w:themeColor="text1" w:themeTint="80"/>
                <w:kern w:val="24"/>
                <w:sz w:val="20"/>
                <w:szCs w:val="20"/>
              </w:rPr>
              <w:t>2</w:t>
            </w:r>
            <w:r>
              <w:rPr>
                <w:rFonts w:ascii="Calibri" w:hAnsi="Calibri" w:cs="Arial"/>
                <w:b/>
                <w:bCs/>
                <w:color w:val="7F7F7F" w:themeColor="text1" w:themeTint="80"/>
                <w:kern w:val="24"/>
                <w:sz w:val="20"/>
                <w:szCs w:val="20"/>
              </w:rPr>
              <w:t xml:space="preserve"> </w:t>
            </w:r>
            <w:r w:rsidRPr="00542F90">
              <w:rPr>
                <w:rFonts w:ascii="Calibri" w:hAnsi="Calibri" w:cs="Arial"/>
                <w:b/>
                <w:bCs/>
                <w:color w:val="000000" w:themeColor="text1"/>
                <w:kern w:val="24"/>
                <w:sz w:val="20"/>
                <w:szCs w:val="20"/>
              </w:rPr>
              <w:t xml:space="preserve">+ </w:t>
            </w:r>
            <w:r w:rsidRPr="00542F90">
              <w:rPr>
                <w:rFonts w:ascii="Calibri" w:hAnsi="Calibri" w:cs="Arial"/>
                <w:b/>
                <w:bCs/>
                <w:color w:val="00B050"/>
                <w:kern w:val="24"/>
                <w:sz w:val="20"/>
                <w:szCs w:val="20"/>
              </w:rPr>
              <w:t>2</w:t>
            </w:r>
          </w:p>
        </w:tc>
        <w:tc>
          <w:tcPr>
            <w:tcW w:w="850" w:type="dxa"/>
          </w:tcPr>
          <w:p w14:paraId="07194526" w14:textId="77777777" w:rsidR="00936244" w:rsidRPr="00542F90" w:rsidRDefault="00936244" w:rsidP="00936244">
            <w:pPr>
              <w:spacing w:before="100" w:beforeAutospacing="1" w:after="100" w:afterAutospacing="1" w:line="240" w:lineRule="atLeast"/>
              <w:jc w:val="both"/>
              <w:rPr>
                <w:b/>
                <w:sz w:val="20"/>
                <w:szCs w:val="20"/>
                <w:lang w:val="en-US"/>
              </w:rPr>
            </w:pPr>
          </w:p>
        </w:tc>
        <w:tc>
          <w:tcPr>
            <w:tcW w:w="851" w:type="dxa"/>
          </w:tcPr>
          <w:p w14:paraId="6F7E857D"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1</w:t>
            </w:r>
            <w:r w:rsidRPr="00542F90">
              <w:rPr>
                <w:rFonts w:ascii="Calibri" w:hAnsi="Calibri" w:cs="Arial"/>
                <w:b/>
                <w:bCs/>
                <w:color w:val="000000" w:themeColor="text1"/>
                <w:kern w:val="24"/>
                <w:sz w:val="20"/>
                <w:szCs w:val="20"/>
              </w:rPr>
              <w:t xml:space="preserve"> + </w:t>
            </w:r>
            <w:r w:rsidRPr="00542F90">
              <w:rPr>
                <w:rFonts w:ascii="Calibri" w:hAnsi="Calibri" w:cs="Arial"/>
                <w:b/>
                <w:bCs/>
                <w:color w:val="7F7F7F" w:themeColor="text1" w:themeTint="80"/>
                <w:kern w:val="24"/>
                <w:sz w:val="20"/>
                <w:szCs w:val="20"/>
              </w:rPr>
              <w:t>2</w:t>
            </w:r>
          </w:p>
        </w:tc>
        <w:tc>
          <w:tcPr>
            <w:tcW w:w="850" w:type="dxa"/>
          </w:tcPr>
          <w:p w14:paraId="63D3FF9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57008B49"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3</w:t>
            </w:r>
            <w:r w:rsidRPr="00542F90">
              <w:rPr>
                <w:rFonts w:ascii="Calibri" w:hAnsi="Calibri" w:cs="Arial"/>
                <w:b/>
                <w:bCs/>
                <w:color w:val="7F7F7F" w:themeColor="text1" w:themeTint="80"/>
                <w:kern w:val="24"/>
                <w:sz w:val="20"/>
                <w:szCs w:val="20"/>
              </w:rPr>
              <w:t xml:space="preserve"> </w:t>
            </w:r>
            <w:r w:rsidRPr="00542F90">
              <w:rPr>
                <w:rFonts w:ascii="Calibri" w:hAnsi="Calibri" w:cs="Arial"/>
                <w:b/>
                <w:bCs/>
                <w:color w:val="000000" w:themeColor="text1"/>
                <w:kern w:val="24"/>
                <w:sz w:val="20"/>
                <w:szCs w:val="20"/>
              </w:rPr>
              <w:t xml:space="preserve">+ </w:t>
            </w:r>
            <w:r w:rsidRPr="00542F90">
              <w:rPr>
                <w:rFonts w:ascii="Calibri" w:hAnsi="Calibri" w:cs="Arial"/>
                <w:b/>
                <w:bCs/>
                <w:color w:val="7F7F7F" w:themeColor="text1" w:themeTint="80"/>
                <w:kern w:val="24"/>
                <w:sz w:val="20"/>
                <w:szCs w:val="20"/>
              </w:rPr>
              <w:t>1</w:t>
            </w:r>
            <w:r w:rsidRPr="00542F90">
              <w:rPr>
                <w:rFonts w:ascii="Calibri" w:hAnsi="Calibri" w:cs="Arial"/>
                <w:b/>
                <w:bCs/>
                <w:color w:val="000000" w:themeColor="text1"/>
                <w:kern w:val="24"/>
                <w:sz w:val="20"/>
                <w:szCs w:val="20"/>
              </w:rPr>
              <w:t>+</w:t>
            </w:r>
            <w:r w:rsidRPr="00542F90">
              <w:rPr>
                <w:rFonts w:ascii="Calibri" w:hAnsi="Calibri" w:cs="Arial"/>
                <w:b/>
                <w:bCs/>
                <w:color w:val="7F7F7F" w:themeColor="text1" w:themeTint="80"/>
                <w:kern w:val="24"/>
                <w:sz w:val="20"/>
                <w:szCs w:val="20"/>
              </w:rPr>
              <w:t xml:space="preserve"> </w:t>
            </w:r>
            <w:r w:rsidRPr="00542F90">
              <w:rPr>
                <w:rFonts w:ascii="Calibri" w:hAnsi="Calibri" w:cs="Arial"/>
                <w:b/>
                <w:bCs/>
                <w:color w:val="00B050"/>
                <w:kern w:val="24"/>
                <w:sz w:val="20"/>
                <w:szCs w:val="20"/>
              </w:rPr>
              <w:t>1</w:t>
            </w:r>
          </w:p>
        </w:tc>
        <w:tc>
          <w:tcPr>
            <w:tcW w:w="708" w:type="dxa"/>
          </w:tcPr>
          <w:p w14:paraId="4AEC440A" w14:textId="77777777" w:rsidR="00936244" w:rsidRPr="00542F90" w:rsidRDefault="00936244" w:rsidP="00936244">
            <w:pPr>
              <w:spacing w:before="100" w:beforeAutospacing="1" w:after="100" w:afterAutospacing="1" w:line="240" w:lineRule="atLeast"/>
              <w:jc w:val="both"/>
              <w:rPr>
                <w:b/>
                <w:sz w:val="20"/>
                <w:szCs w:val="20"/>
                <w:lang w:val="en-US"/>
              </w:rPr>
            </w:pPr>
          </w:p>
        </w:tc>
        <w:tc>
          <w:tcPr>
            <w:tcW w:w="851" w:type="dxa"/>
          </w:tcPr>
          <w:p w14:paraId="64FB0946" w14:textId="77777777" w:rsidR="00936244" w:rsidRPr="00542F90" w:rsidRDefault="00936244" w:rsidP="00936244">
            <w:pPr>
              <w:spacing w:before="100" w:beforeAutospacing="1" w:after="100" w:afterAutospacing="1" w:line="240" w:lineRule="atLeast"/>
              <w:jc w:val="both"/>
              <w:rPr>
                <w:b/>
                <w:sz w:val="20"/>
                <w:szCs w:val="20"/>
                <w:lang w:val="en-US"/>
              </w:rPr>
            </w:pPr>
          </w:p>
        </w:tc>
        <w:tc>
          <w:tcPr>
            <w:tcW w:w="1276" w:type="dxa"/>
          </w:tcPr>
          <w:p w14:paraId="42C44C00" w14:textId="38DC5E03"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0000" w:themeColor="dark1"/>
                <w:kern w:val="24"/>
                <w:sz w:val="20"/>
                <w:szCs w:val="20"/>
              </w:rPr>
              <w:t>13</w:t>
            </w:r>
            <w:r>
              <w:rPr>
                <w:rFonts w:ascii="Calibri" w:hAnsi="Calibri" w:cs="Arial"/>
                <w:b/>
                <w:color w:val="000000" w:themeColor="dark1"/>
                <w:kern w:val="24"/>
                <w:sz w:val="20"/>
                <w:szCs w:val="20"/>
              </w:rPr>
              <w:t xml:space="preserve"> (</w:t>
            </w:r>
            <w:r w:rsidRPr="002F2AD6">
              <w:rPr>
                <w:rFonts w:ascii="Calibri" w:hAnsi="Calibri" w:cs="Arial"/>
                <w:b/>
                <w:color w:val="FF0000"/>
                <w:kern w:val="24"/>
                <w:sz w:val="20"/>
                <w:szCs w:val="20"/>
              </w:rPr>
              <w:t>5</w:t>
            </w:r>
            <w:r>
              <w:rPr>
                <w:rFonts w:ascii="Calibri" w:hAnsi="Calibri" w:cs="Arial"/>
                <w:b/>
                <w:color w:val="000000" w:themeColor="dark1"/>
                <w:kern w:val="24"/>
                <w:sz w:val="20"/>
                <w:szCs w:val="20"/>
              </w:rPr>
              <w:t xml:space="preserve"> + </w:t>
            </w:r>
            <w:r w:rsidRPr="002F2AD6">
              <w:rPr>
                <w:rFonts w:ascii="Calibri" w:hAnsi="Calibri" w:cs="Arial"/>
                <w:b/>
                <w:color w:val="808080" w:themeColor="background1" w:themeShade="80"/>
                <w:kern w:val="24"/>
                <w:sz w:val="20"/>
                <w:szCs w:val="20"/>
              </w:rPr>
              <w:t>5</w:t>
            </w:r>
            <w:r>
              <w:rPr>
                <w:rFonts w:ascii="Calibri" w:hAnsi="Calibri" w:cs="Arial"/>
                <w:b/>
                <w:color w:val="000000" w:themeColor="dark1"/>
                <w:kern w:val="24"/>
                <w:sz w:val="20"/>
                <w:szCs w:val="20"/>
              </w:rPr>
              <w:t xml:space="preserve"> + </w:t>
            </w:r>
            <w:r w:rsidRPr="002F2AD6">
              <w:rPr>
                <w:rFonts w:ascii="Calibri" w:hAnsi="Calibri" w:cs="Arial"/>
                <w:b/>
                <w:color w:val="00B050"/>
                <w:kern w:val="24"/>
                <w:sz w:val="20"/>
                <w:szCs w:val="20"/>
              </w:rPr>
              <w:t>3</w:t>
            </w:r>
            <w:r>
              <w:rPr>
                <w:rFonts w:ascii="Calibri" w:hAnsi="Calibri" w:cs="Arial"/>
                <w:b/>
                <w:color w:val="000000" w:themeColor="dark1"/>
                <w:kern w:val="24"/>
                <w:sz w:val="20"/>
                <w:szCs w:val="20"/>
              </w:rPr>
              <w:t>)</w:t>
            </w:r>
          </w:p>
        </w:tc>
      </w:tr>
      <w:tr w:rsidR="00936244" w14:paraId="299D175F" w14:textId="77777777" w:rsidTr="00936244">
        <w:tc>
          <w:tcPr>
            <w:tcW w:w="806" w:type="dxa"/>
          </w:tcPr>
          <w:p w14:paraId="6426E0D1"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9 -0</w:t>
            </w:r>
          </w:p>
        </w:tc>
        <w:tc>
          <w:tcPr>
            <w:tcW w:w="749" w:type="dxa"/>
          </w:tcPr>
          <w:p w14:paraId="428BA757"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029F804A"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3C093587"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00B050"/>
                <w:kern w:val="24"/>
                <w:sz w:val="20"/>
                <w:szCs w:val="20"/>
              </w:rPr>
              <w:t>2</w:t>
            </w:r>
          </w:p>
        </w:tc>
        <w:tc>
          <w:tcPr>
            <w:tcW w:w="850" w:type="dxa"/>
          </w:tcPr>
          <w:p w14:paraId="4857610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5B32F48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4CDAEF5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61C23AA"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0090E27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514BA692"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5E421E9B" w14:textId="77777777"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B050"/>
                <w:kern w:val="24"/>
                <w:sz w:val="20"/>
                <w:szCs w:val="20"/>
              </w:rPr>
              <w:t>2</w:t>
            </w:r>
          </w:p>
        </w:tc>
      </w:tr>
      <w:tr w:rsidR="00936244" w14:paraId="2DD1D7C3" w14:textId="77777777" w:rsidTr="00936244">
        <w:tc>
          <w:tcPr>
            <w:tcW w:w="806" w:type="dxa"/>
          </w:tcPr>
          <w:p w14:paraId="0A96630B"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9 -1</w:t>
            </w:r>
          </w:p>
        </w:tc>
        <w:tc>
          <w:tcPr>
            <w:tcW w:w="749" w:type="dxa"/>
          </w:tcPr>
          <w:p w14:paraId="4662541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453FFD6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42E9EBA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23015FB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06C11233"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37E3DC89"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00B050"/>
                <w:kern w:val="24"/>
                <w:sz w:val="20"/>
                <w:szCs w:val="20"/>
              </w:rPr>
              <w:t>6</w:t>
            </w:r>
          </w:p>
        </w:tc>
        <w:tc>
          <w:tcPr>
            <w:tcW w:w="851" w:type="dxa"/>
          </w:tcPr>
          <w:p w14:paraId="3B903B7A"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708" w:type="dxa"/>
          </w:tcPr>
          <w:p w14:paraId="27468AA4"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58418ED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6610CE93" w14:textId="77777777"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B050"/>
                <w:kern w:val="24"/>
                <w:sz w:val="20"/>
                <w:szCs w:val="20"/>
              </w:rPr>
              <w:t>6</w:t>
            </w:r>
          </w:p>
        </w:tc>
      </w:tr>
      <w:tr w:rsidR="00936244" w14:paraId="17366E78" w14:textId="77777777" w:rsidTr="00936244">
        <w:tc>
          <w:tcPr>
            <w:tcW w:w="806" w:type="dxa"/>
          </w:tcPr>
          <w:p w14:paraId="664F1F11"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9 -2</w:t>
            </w:r>
          </w:p>
        </w:tc>
        <w:tc>
          <w:tcPr>
            <w:tcW w:w="749" w:type="dxa"/>
          </w:tcPr>
          <w:p w14:paraId="0467B71B"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21" w:type="dxa"/>
          </w:tcPr>
          <w:p w14:paraId="19E837D0"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993" w:type="dxa"/>
          </w:tcPr>
          <w:p w14:paraId="7CB1F875"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52958ECC"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4E941056"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2143801F"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3596E6AD"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00B050"/>
                <w:kern w:val="24"/>
                <w:sz w:val="20"/>
                <w:szCs w:val="20"/>
              </w:rPr>
              <w:t>4</w:t>
            </w:r>
          </w:p>
        </w:tc>
        <w:tc>
          <w:tcPr>
            <w:tcW w:w="708" w:type="dxa"/>
          </w:tcPr>
          <w:p w14:paraId="791C4446"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3</w:t>
            </w:r>
            <w:r w:rsidRPr="00542F90">
              <w:rPr>
                <w:rFonts w:ascii="Calibri" w:hAnsi="Calibri" w:cs="Arial"/>
                <w:b/>
                <w:bCs/>
                <w:color w:val="000000" w:themeColor="text1"/>
                <w:kern w:val="24"/>
                <w:sz w:val="20"/>
                <w:szCs w:val="20"/>
              </w:rPr>
              <w:t>+</w:t>
            </w:r>
            <w:r w:rsidRPr="00542F90">
              <w:rPr>
                <w:rFonts w:ascii="Calibri" w:hAnsi="Calibri" w:cs="Arial"/>
                <w:b/>
                <w:bCs/>
                <w:color w:val="7F7F7F" w:themeColor="text1" w:themeTint="80"/>
                <w:kern w:val="24"/>
                <w:sz w:val="20"/>
                <w:szCs w:val="20"/>
              </w:rPr>
              <w:t>2</w:t>
            </w:r>
            <w:r w:rsidRPr="00542F90">
              <w:rPr>
                <w:rFonts w:ascii="Calibri" w:hAnsi="Calibri" w:cs="Arial"/>
                <w:b/>
                <w:bCs/>
                <w:color w:val="000000" w:themeColor="text1"/>
                <w:kern w:val="24"/>
                <w:sz w:val="20"/>
                <w:szCs w:val="20"/>
              </w:rPr>
              <w:t>+</w:t>
            </w:r>
            <w:r w:rsidRPr="00542F90">
              <w:rPr>
                <w:rFonts w:ascii="Calibri" w:hAnsi="Calibri" w:cs="Arial"/>
                <w:b/>
                <w:bCs/>
                <w:color w:val="00B050"/>
                <w:kern w:val="24"/>
                <w:sz w:val="20"/>
                <w:szCs w:val="20"/>
              </w:rPr>
              <w:t>5</w:t>
            </w:r>
          </w:p>
        </w:tc>
        <w:tc>
          <w:tcPr>
            <w:tcW w:w="851" w:type="dxa"/>
          </w:tcPr>
          <w:p w14:paraId="4C7431EE"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10AEA681" w14:textId="49FE69B7"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0000" w:themeColor="dark1"/>
                <w:kern w:val="24"/>
                <w:sz w:val="20"/>
                <w:szCs w:val="20"/>
              </w:rPr>
              <w:t>14</w:t>
            </w:r>
            <w:r>
              <w:rPr>
                <w:rFonts w:ascii="Calibri" w:hAnsi="Calibri" w:cs="Arial"/>
                <w:b/>
                <w:color w:val="000000" w:themeColor="dark1"/>
                <w:kern w:val="24"/>
                <w:sz w:val="20"/>
                <w:szCs w:val="20"/>
              </w:rPr>
              <w:t xml:space="preserve"> (</w:t>
            </w:r>
            <w:r w:rsidRPr="002F2AD6">
              <w:rPr>
                <w:rFonts w:ascii="Calibri" w:hAnsi="Calibri" w:cs="Arial"/>
                <w:b/>
                <w:color w:val="FF0000"/>
                <w:kern w:val="24"/>
                <w:sz w:val="20"/>
                <w:szCs w:val="20"/>
              </w:rPr>
              <w:t>3</w:t>
            </w:r>
            <w:r>
              <w:rPr>
                <w:rFonts w:ascii="Calibri" w:hAnsi="Calibri" w:cs="Arial"/>
                <w:b/>
                <w:color w:val="000000" w:themeColor="dark1"/>
                <w:kern w:val="24"/>
                <w:sz w:val="20"/>
                <w:szCs w:val="20"/>
              </w:rPr>
              <w:t xml:space="preserve"> + </w:t>
            </w:r>
            <w:r w:rsidRPr="002F2AD6">
              <w:rPr>
                <w:rFonts w:ascii="Calibri" w:hAnsi="Calibri" w:cs="Arial"/>
                <w:b/>
                <w:color w:val="808080" w:themeColor="background1" w:themeShade="80"/>
                <w:kern w:val="24"/>
                <w:sz w:val="20"/>
                <w:szCs w:val="20"/>
              </w:rPr>
              <w:t>2</w:t>
            </w:r>
            <w:r>
              <w:rPr>
                <w:rFonts w:ascii="Calibri" w:hAnsi="Calibri" w:cs="Arial"/>
                <w:b/>
                <w:color w:val="000000" w:themeColor="dark1"/>
                <w:kern w:val="24"/>
                <w:sz w:val="20"/>
                <w:szCs w:val="20"/>
              </w:rPr>
              <w:t xml:space="preserve">+ </w:t>
            </w:r>
            <w:r w:rsidRPr="002F2AD6">
              <w:rPr>
                <w:rFonts w:ascii="Calibri" w:hAnsi="Calibri" w:cs="Arial"/>
                <w:b/>
                <w:color w:val="00B050"/>
                <w:kern w:val="24"/>
                <w:sz w:val="20"/>
                <w:szCs w:val="20"/>
              </w:rPr>
              <w:t>9</w:t>
            </w:r>
            <w:r>
              <w:rPr>
                <w:rFonts w:ascii="Calibri" w:hAnsi="Calibri" w:cs="Arial"/>
                <w:b/>
                <w:color w:val="000000" w:themeColor="dark1"/>
                <w:kern w:val="24"/>
                <w:sz w:val="20"/>
                <w:szCs w:val="20"/>
              </w:rPr>
              <w:t>)</w:t>
            </w:r>
          </w:p>
        </w:tc>
      </w:tr>
      <w:tr w:rsidR="00936244" w14:paraId="5857449B" w14:textId="77777777" w:rsidTr="00936244">
        <w:trPr>
          <w:trHeight w:val="685"/>
        </w:trPr>
        <w:tc>
          <w:tcPr>
            <w:tcW w:w="806" w:type="dxa"/>
          </w:tcPr>
          <w:p w14:paraId="1E38AFA3"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color w:val="000000" w:themeColor="dark1"/>
                <w:kern w:val="24"/>
                <w:sz w:val="20"/>
                <w:szCs w:val="20"/>
              </w:rPr>
              <w:t>9 -3</w:t>
            </w:r>
          </w:p>
        </w:tc>
        <w:tc>
          <w:tcPr>
            <w:tcW w:w="749" w:type="dxa"/>
          </w:tcPr>
          <w:p w14:paraId="7FB6C2F9"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7F7F7F" w:themeColor="text1" w:themeTint="80"/>
                <w:kern w:val="24"/>
                <w:sz w:val="20"/>
                <w:szCs w:val="20"/>
              </w:rPr>
              <w:t>3</w:t>
            </w:r>
            <w:r w:rsidRPr="00542F90">
              <w:rPr>
                <w:rFonts w:ascii="Calibri" w:hAnsi="Calibri" w:cs="Arial"/>
                <w:b/>
                <w:bCs/>
                <w:color w:val="000000" w:themeColor="text1"/>
                <w:kern w:val="24"/>
                <w:sz w:val="20"/>
                <w:szCs w:val="20"/>
              </w:rPr>
              <w:t xml:space="preserve"> +</w:t>
            </w:r>
            <w:r w:rsidRPr="00542F90">
              <w:rPr>
                <w:rFonts w:ascii="Calibri" w:hAnsi="Calibri" w:cs="Arial"/>
                <w:b/>
                <w:bCs/>
                <w:color w:val="00B050"/>
                <w:kern w:val="24"/>
                <w:sz w:val="20"/>
                <w:szCs w:val="20"/>
              </w:rPr>
              <w:t xml:space="preserve"> 5</w:t>
            </w:r>
          </w:p>
        </w:tc>
        <w:tc>
          <w:tcPr>
            <w:tcW w:w="821" w:type="dxa"/>
          </w:tcPr>
          <w:p w14:paraId="2162C498" w14:textId="259F9D72"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1</w:t>
            </w:r>
            <w:r w:rsidRPr="00542F90">
              <w:rPr>
                <w:rFonts w:ascii="Calibri" w:hAnsi="Calibri" w:cs="Arial"/>
                <w:b/>
                <w:bCs/>
                <w:color w:val="000000" w:themeColor="text1"/>
                <w:kern w:val="24"/>
                <w:sz w:val="20"/>
                <w:szCs w:val="20"/>
              </w:rPr>
              <w:t xml:space="preserve"> +</w:t>
            </w:r>
            <w:r>
              <w:rPr>
                <w:rFonts w:ascii="Calibri" w:hAnsi="Calibri" w:cs="Arial"/>
                <w:b/>
                <w:bCs/>
                <w:color w:val="000000" w:themeColor="text1"/>
                <w:kern w:val="24"/>
                <w:sz w:val="20"/>
                <w:szCs w:val="20"/>
              </w:rPr>
              <w:t xml:space="preserve"> </w:t>
            </w:r>
            <w:r w:rsidRPr="00542F90">
              <w:rPr>
                <w:rFonts w:ascii="Calibri" w:hAnsi="Calibri" w:cs="Arial"/>
                <w:b/>
                <w:bCs/>
                <w:color w:val="7F7F7F" w:themeColor="text1" w:themeTint="80"/>
                <w:kern w:val="24"/>
                <w:sz w:val="20"/>
                <w:szCs w:val="20"/>
              </w:rPr>
              <w:t>1</w:t>
            </w:r>
            <w:r>
              <w:rPr>
                <w:rFonts w:ascii="Calibri" w:hAnsi="Calibri" w:cs="Arial"/>
                <w:b/>
                <w:bCs/>
                <w:color w:val="7F7F7F" w:themeColor="text1" w:themeTint="80"/>
                <w:kern w:val="24"/>
                <w:sz w:val="20"/>
                <w:szCs w:val="20"/>
              </w:rPr>
              <w:t xml:space="preserve"> </w:t>
            </w:r>
            <w:r w:rsidRPr="00542F90">
              <w:rPr>
                <w:rFonts w:ascii="Calibri" w:hAnsi="Calibri" w:cs="Arial"/>
                <w:b/>
                <w:bCs/>
                <w:color w:val="000000" w:themeColor="text1"/>
                <w:kern w:val="24"/>
                <w:sz w:val="20"/>
                <w:szCs w:val="20"/>
              </w:rPr>
              <w:t>+</w:t>
            </w:r>
            <w:r>
              <w:rPr>
                <w:rFonts w:ascii="Calibri" w:hAnsi="Calibri" w:cs="Arial"/>
                <w:b/>
                <w:bCs/>
                <w:color w:val="000000" w:themeColor="text1"/>
                <w:kern w:val="24"/>
                <w:sz w:val="20"/>
                <w:szCs w:val="20"/>
              </w:rPr>
              <w:t xml:space="preserve"> </w:t>
            </w:r>
            <w:r w:rsidRPr="00542F90">
              <w:rPr>
                <w:rFonts w:ascii="Calibri" w:hAnsi="Calibri" w:cs="Arial"/>
                <w:b/>
                <w:bCs/>
                <w:color w:val="00B050"/>
                <w:kern w:val="24"/>
                <w:sz w:val="20"/>
                <w:szCs w:val="20"/>
              </w:rPr>
              <w:t>5</w:t>
            </w:r>
          </w:p>
        </w:tc>
        <w:tc>
          <w:tcPr>
            <w:tcW w:w="993" w:type="dxa"/>
          </w:tcPr>
          <w:p w14:paraId="651CB1B1" w14:textId="3CF6AD84"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1</w:t>
            </w:r>
            <w:r>
              <w:rPr>
                <w:rFonts w:ascii="Calibri" w:hAnsi="Calibri" w:cs="Arial"/>
                <w:b/>
                <w:bCs/>
                <w:color w:val="FF0000"/>
                <w:kern w:val="24"/>
                <w:sz w:val="20"/>
                <w:szCs w:val="20"/>
              </w:rPr>
              <w:t xml:space="preserve"> </w:t>
            </w:r>
            <w:r w:rsidRPr="00542F90">
              <w:rPr>
                <w:rFonts w:ascii="Calibri" w:hAnsi="Calibri" w:cs="Arial"/>
                <w:b/>
                <w:bCs/>
                <w:color w:val="000000" w:themeColor="text1"/>
                <w:kern w:val="24"/>
                <w:sz w:val="20"/>
                <w:szCs w:val="20"/>
              </w:rPr>
              <w:t>+</w:t>
            </w:r>
            <w:r>
              <w:rPr>
                <w:rFonts w:ascii="Calibri" w:hAnsi="Calibri" w:cs="Arial"/>
                <w:b/>
                <w:bCs/>
                <w:color w:val="000000" w:themeColor="text1"/>
                <w:kern w:val="24"/>
                <w:sz w:val="20"/>
                <w:szCs w:val="20"/>
              </w:rPr>
              <w:t xml:space="preserve"> </w:t>
            </w:r>
            <w:r w:rsidRPr="00542F90">
              <w:rPr>
                <w:rFonts w:ascii="Calibri" w:hAnsi="Calibri" w:cs="Arial"/>
                <w:b/>
                <w:bCs/>
                <w:color w:val="7F7F7F" w:themeColor="text1" w:themeTint="80"/>
                <w:kern w:val="24"/>
                <w:sz w:val="20"/>
                <w:szCs w:val="20"/>
              </w:rPr>
              <w:t>2</w:t>
            </w:r>
            <w:r>
              <w:rPr>
                <w:rFonts w:ascii="Calibri" w:hAnsi="Calibri" w:cs="Arial"/>
                <w:b/>
                <w:bCs/>
                <w:color w:val="7F7F7F" w:themeColor="text1" w:themeTint="80"/>
                <w:kern w:val="24"/>
                <w:sz w:val="20"/>
                <w:szCs w:val="20"/>
              </w:rPr>
              <w:t xml:space="preserve"> </w:t>
            </w:r>
            <w:r w:rsidRPr="00542F90">
              <w:rPr>
                <w:rFonts w:ascii="Calibri" w:hAnsi="Calibri" w:cs="Arial"/>
                <w:b/>
                <w:bCs/>
                <w:color w:val="000000" w:themeColor="text1"/>
                <w:kern w:val="24"/>
                <w:sz w:val="20"/>
                <w:szCs w:val="20"/>
              </w:rPr>
              <w:t>+</w:t>
            </w:r>
            <w:r>
              <w:rPr>
                <w:rFonts w:ascii="Calibri" w:hAnsi="Calibri" w:cs="Arial"/>
                <w:b/>
                <w:bCs/>
                <w:color w:val="000000" w:themeColor="text1"/>
                <w:kern w:val="24"/>
                <w:sz w:val="20"/>
                <w:szCs w:val="20"/>
              </w:rPr>
              <w:t xml:space="preserve"> </w:t>
            </w:r>
            <w:r w:rsidRPr="00542F90">
              <w:rPr>
                <w:rFonts w:ascii="Calibri" w:hAnsi="Calibri" w:cs="Arial"/>
                <w:b/>
                <w:bCs/>
                <w:color w:val="00B050"/>
                <w:kern w:val="24"/>
                <w:sz w:val="20"/>
                <w:szCs w:val="20"/>
              </w:rPr>
              <w:t>13</w:t>
            </w:r>
          </w:p>
        </w:tc>
        <w:tc>
          <w:tcPr>
            <w:tcW w:w="850" w:type="dxa"/>
          </w:tcPr>
          <w:p w14:paraId="18D9AF2A"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00B050"/>
                <w:kern w:val="24"/>
                <w:sz w:val="20"/>
                <w:szCs w:val="20"/>
              </w:rPr>
              <w:t>1</w:t>
            </w:r>
          </w:p>
        </w:tc>
        <w:tc>
          <w:tcPr>
            <w:tcW w:w="851" w:type="dxa"/>
          </w:tcPr>
          <w:p w14:paraId="7221AC4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0" w:type="dxa"/>
          </w:tcPr>
          <w:p w14:paraId="10DA3D31"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1F6A32C8" w14:textId="77777777" w:rsidR="00936244" w:rsidRPr="00542F90" w:rsidRDefault="00936244" w:rsidP="00936244">
            <w:pPr>
              <w:spacing w:before="100" w:beforeAutospacing="1" w:after="100" w:afterAutospacing="1" w:line="240" w:lineRule="atLeast"/>
              <w:jc w:val="center"/>
              <w:rPr>
                <w:b/>
                <w:sz w:val="20"/>
                <w:szCs w:val="20"/>
                <w:lang w:val="en-US"/>
              </w:rPr>
            </w:pPr>
            <w:r w:rsidRPr="00542F90">
              <w:rPr>
                <w:rFonts w:ascii="Calibri" w:hAnsi="Calibri" w:cs="Arial"/>
                <w:b/>
                <w:bCs/>
                <w:color w:val="FF0000"/>
                <w:kern w:val="24"/>
                <w:sz w:val="20"/>
                <w:szCs w:val="20"/>
              </w:rPr>
              <w:t>1</w:t>
            </w:r>
            <w:r w:rsidRPr="00542F90">
              <w:rPr>
                <w:rFonts w:ascii="Calibri" w:hAnsi="Calibri" w:cs="Arial"/>
                <w:b/>
                <w:bCs/>
                <w:color w:val="7F7F7F" w:themeColor="text1" w:themeTint="80"/>
                <w:kern w:val="24"/>
                <w:sz w:val="20"/>
                <w:szCs w:val="20"/>
              </w:rPr>
              <w:t xml:space="preserve"> </w:t>
            </w:r>
            <w:r w:rsidRPr="00542F90">
              <w:rPr>
                <w:rFonts w:ascii="Calibri" w:hAnsi="Calibri" w:cs="Arial"/>
                <w:b/>
                <w:bCs/>
                <w:color w:val="000000" w:themeColor="text1"/>
                <w:kern w:val="24"/>
                <w:sz w:val="20"/>
                <w:szCs w:val="20"/>
              </w:rPr>
              <w:t xml:space="preserve">+ </w:t>
            </w:r>
            <w:r w:rsidRPr="00542F90">
              <w:rPr>
                <w:rFonts w:ascii="Calibri" w:hAnsi="Calibri" w:cs="Arial"/>
                <w:b/>
                <w:bCs/>
                <w:color w:val="00B050"/>
                <w:kern w:val="24"/>
                <w:sz w:val="20"/>
                <w:szCs w:val="20"/>
              </w:rPr>
              <w:t>3</w:t>
            </w:r>
          </w:p>
        </w:tc>
        <w:tc>
          <w:tcPr>
            <w:tcW w:w="708" w:type="dxa"/>
          </w:tcPr>
          <w:p w14:paraId="482ADC0D"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851" w:type="dxa"/>
          </w:tcPr>
          <w:p w14:paraId="2F48BDCF" w14:textId="77777777" w:rsidR="00936244" w:rsidRPr="00542F90" w:rsidRDefault="00936244" w:rsidP="00936244">
            <w:pPr>
              <w:spacing w:before="100" w:beforeAutospacing="1" w:after="100" w:afterAutospacing="1" w:line="240" w:lineRule="atLeast"/>
              <w:jc w:val="center"/>
              <w:rPr>
                <w:b/>
                <w:sz w:val="20"/>
                <w:szCs w:val="20"/>
                <w:lang w:val="en-US"/>
              </w:rPr>
            </w:pPr>
          </w:p>
        </w:tc>
        <w:tc>
          <w:tcPr>
            <w:tcW w:w="1276" w:type="dxa"/>
          </w:tcPr>
          <w:p w14:paraId="50E0BA48" w14:textId="4809CDD1" w:rsidR="00936244" w:rsidRPr="002F2AD6" w:rsidRDefault="00936244" w:rsidP="00936244">
            <w:pPr>
              <w:spacing w:before="100" w:beforeAutospacing="1" w:after="100" w:afterAutospacing="1" w:line="240" w:lineRule="atLeast"/>
              <w:jc w:val="center"/>
              <w:rPr>
                <w:b/>
                <w:sz w:val="20"/>
                <w:szCs w:val="20"/>
                <w:lang w:val="en-US"/>
              </w:rPr>
            </w:pPr>
            <w:r w:rsidRPr="002F2AD6">
              <w:rPr>
                <w:rFonts w:ascii="Calibri" w:hAnsi="Calibri" w:cs="Arial"/>
                <w:b/>
                <w:color w:val="000000" w:themeColor="dark1"/>
                <w:kern w:val="24"/>
                <w:sz w:val="20"/>
                <w:szCs w:val="20"/>
              </w:rPr>
              <w:t>36</w:t>
            </w:r>
            <w:r>
              <w:rPr>
                <w:rFonts w:ascii="Calibri" w:hAnsi="Calibri" w:cs="Arial"/>
                <w:b/>
                <w:color w:val="000000" w:themeColor="dark1"/>
                <w:kern w:val="24"/>
                <w:sz w:val="20"/>
                <w:szCs w:val="20"/>
              </w:rPr>
              <w:t xml:space="preserve"> (</w:t>
            </w:r>
            <w:r w:rsidRPr="002F2AD6">
              <w:rPr>
                <w:rFonts w:ascii="Calibri" w:hAnsi="Calibri" w:cs="Arial"/>
                <w:b/>
                <w:color w:val="FF0000"/>
                <w:kern w:val="24"/>
                <w:sz w:val="20"/>
                <w:szCs w:val="20"/>
              </w:rPr>
              <w:t>3</w:t>
            </w:r>
            <w:r>
              <w:rPr>
                <w:rFonts w:ascii="Calibri" w:hAnsi="Calibri" w:cs="Arial"/>
                <w:b/>
                <w:color w:val="000000" w:themeColor="dark1"/>
                <w:kern w:val="24"/>
                <w:sz w:val="20"/>
                <w:szCs w:val="20"/>
              </w:rPr>
              <w:t xml:space="preserve"> + </w:t>
            </w:r>
            <w:r w:rsidRPr="002F2AD6">
              <w:rPr>
                <w:rFonts w:ascii="Calibri" w:hAnsi="Calibri" w:cs="Arial"/>
                <w:b/>
                <w:color w:val="808080" w:themeColor="background1" w:themeShade="80"/>
                <w:kern w:val="24"/>
                <w:sz w:val="20"/>
                <w:szCs w:val="20"/>
              </w:rPr>
              <w:t>6</w:t>
            </w:r>
            <w:r>
              <w:rPr>
                <w:rFonts w:ascii="Calibri" w:hAnsi="Calibri" w:cs="Arial"/>
                <w:b/>
                <w:color w:val="000000" w:themeColor="dark1"/>
                <w:kern w:val="24"/>
                <w:sz w:val="20"/>
                <w:szCs w:val="20"/>
              </w:rPr>
              <w:t xml:space="preserve"> + </w:t>
            </w:r>
            <w:r w:rsidRPr="002F2AD6">
              <w:rPr>
                <w:rFonts w:ascii="Calibri" w:hAnsi="Calibri" w:cs="Arial"/>
                <w:b/>
                <w:color w:val="00B050"/>
                <w:kern w:val="24"/>
                <w:sz w:val="20"/>
                <w:szCs w:val="20"/>
              </w:rPr>
              <w:t>27</w:t>
            </w:r>
            <w:r>
              <w:rPr>
                <w:rFonts w:ascii="Calibri" w:hAnsi="Calibri" w:cs="Arial"/>
                <w:b/>
                <w:color w:val="000000" w:themeColor="dark1"/>
                <w:kern w:val="24"/>
                <w:sz w:val="20"/>
                <w:szCs w:val="20"/>
              </w:rPr>
              <w:t>)</w:t>
            </w:r>
          </w:p>
        </w:tc>
      </w:tr>
      <w:tr w:rsidR="00936244" w14:paraId="31A569FA" w14:textId="77777777" w:rsidTr="00936244">
        <w:tc>
          <w:tcPr>
            <w:tcW w:w="806" w:type="dxa"/>
          </w:tcPr>
          <w:p w14:paraId="26EFD018" w14:textId="77777777" w:rsidR="00936244" w:rsidRPr="00141D91" w:rsidRDefault="00936244" w:rsidP="00936244">
            <w:pPr>
              <w:spacing w:before="100" w:beforeAutospacing="1" w:after="100" w:afterAutospacing="1" w:line="240" w:lineRule="atLeast"/>
              <w:jc w:val="center"/>
              <w:rPr>
                <w:rFonts w:ascii="Calibri" w:hAnsi="Calibri" w:cs="Arial"/>
                <w:kern w:val="24"/>
                <w:sz w:val="20"/>
                <w:szCs w:val="20"/>
              </w:rPr>
            </w:pPr>
            <w:r w:rsidRPr="00141D91">
              <w:rPr>
                <w:rFonts w:ascii="Calibri" w:hAnsi="Calibri" w:cs="Arial"/>
                <w:kern w:val="24"/>
                <w:sz w:val="20"/>
                <w:szCs w:val="20"/>
              </w:rPr>
              <w:t>total</w:t>
            </w:r>
          </w:p>
        </w:tc>
        <w:tc>
          <w:tcPr>
            <w:tcW w:w="749" w:type="dxa"/>
          </w:tcPr>
          <w:p w14:paraId="590EDDC4" w14:textId="77777777" w:rsidR="00936244" w:rsidRPr="00141D91" w:rsidRDefault="00936244" w:rsidP="00936244">
            <w:pPr>
              <w:spacing w:before="100" w:beforeAutospacing="1" w:after="100" w:afterAutospacing="1" w:line="240" w:lineRule="atLeast"/>
              <w:jc w:val="center"/>
              <w:rPr>
                <w:rFonts w:ascii="Calibri" w:hAnsi="Calibri" w:cs="Arial"/>
                <w:bCs/>
                <w:kern w:val="24"/>
                <w:sz w:val="20"/>
                <w:szCs w:val="20"/>
              </w:rPr>
            </w:pPr>
            <w:r w:rsidRPr="00141D91">
              <w:rPr>
                <w:rFonts w:ascii="Calibri" w:hAnsi="Calibri" w:cs="Arial"/>
                <w:bCs/>
                <w:kern w:val="24"/>
                <w:sz w:val="20"/>
                <w:szCs w:val="20"/>
              </w:rPr>
              <w:t>8</w:t>
            </w:r>
          </w:p>
        </w:tc>
        <w:tc>
          <w:tcPr>
            <w:tcW w:w="821" w:type="dxa"/>
          </w:tcPr>
          <w:p w14:paraId="2A5E991F" w14:textId="77777777" w:rsidR="00936244" w:rsidRPr="00141D91" w:rsidRDefault="00936244" w:rsidP="00936244">
            <w:pPr>
              <w:spacing w:before="100" w:beforeAutospacing="1" w:after="100" w:afterAutospacing="1" w:line="240" w:lineRule="atLeast"/>
              <w:jc w:val="center"/>
              <w:rPr>
                <w:rFonts w:ascii="Calibri" w:hAnsi="Calibri" w:cs="Arial"/>
                <w:bCs/>
                <w:kern w:val="24"/>
                <w:sz w:val="20"/>
                <w:szCs w:val="20"/>
              </w:rPr>
            </w:pPr>
            <w:r w:rsidRPr="00141D91">
              <w:rPr>
                <w:rFonts w:ascii="Calibri" w:hAnsi="Calibri" w:cs="Arial"/>
                <w:bCs/>
                <w:kern w:val="24"/>
                <w:sz w:val="20"/>
                <w:szCs w:val="20"/>
              </w:rPr>
              <w:t>9</w:t>
            </w:r>
          </w:p>
        </w:tc>
        <w:tc>
          <w:tcPr>
            <w:tcW w:w="993" w:type="dxa"/>
          </w:tcPr>
          <w:p w14:paraId="0A2509D7" w14:textId="77777777" w:rsidR="00936244" w:rsidRPr="00141D91" w:rsidRDefault="00936244" w:rsidP="00936244">
            <w:pPr>
              <w:spacing w:before="100" w:beforeAutospacing="1" w:after="100" w:afterAutospacing="1" w:line="240" w:lineRule="atLeast"/>
              <w:jc w:val="center"/>
              <w:rPr>
                <w:rFonts w:ascii="Calibri" w:hAnsi="Calibri" w:cs="Arial"/>
                <w:bCs/>
                <w:kern w:val="24"/>
                <w:sz w:val="20"/>
                <w:szCs w:val="20"/>
              </w:rPr>
            </w:pPr>
            <w:r w:rsidRPr="00141D91">
              <w:rPr>
                <w:rFonts w:ascii="Calibri" w:hAnsi="Calibri" w:cs="Arial"/>
                <w:bCs/>
                <w:kern w:val="24"/>
                <w:sz w:val="20"/>
                <w:szCs w:val="20"/>
              </w:rPr>
              <w:t>31</w:t>
            </w:r>
          </w:p>
        </w:tc>
        <w:tc>
          <w:tcPr>
            <w:tcW w:w="850" w:type="dxa"/>
          </w:tcPr>
          <w:p w14:paraId="49F72CD6" w14:textId="77777777" w:rsidR="00936244" w:rsidRPr="00141D91" w:rsidRDefault="00936244" w:rsidP="00936244">
            <w:pPr>
              <w:spacing w:before="100" w:beforeAutospacing="1" w:after="100" w:afterAutospacing="1" w:line="240" w:lineRule="atLeast"/>
              <w:jc w:val="center"/>
              <w:rPr>
                <w:rFonts w:ascii="Calibri" w:hAnsi="Calibri" w:cs="Arial"/>
                <w:bCs/>
                <w:kern w:val="24"/>
                <w:sz w:val="20"/>
                <w:szCs w:val="20"/>
              </w:rPr>
            </w:pPr>
            <w:r w:rsidRPr="00141D91">
              <w:rPr>
                <w:rFonts w:ascii="Calibri" w:hAnsi="Calibri" w:cs="Arial"/>
                <w:bCs/>
                <w:kern w:val="24"/>
                <w:sz w:val="20"/>
                <w:szCs w:val="20"/>
              </w:rPr>
              <w:t>1</w:t>
            </w:r>
          </w:p>
        </w:tc>
        <w:tc>
          <w:tcPr>
            <w:tcW w:w="851" w:type="dxa"/>
          </w:tcPr>
          <w:p w14:paraId="2A7FDC45" w14:textId="77777777" w:rsidR="00936244" w:rsidRPr="00141D91" w:rsidRDefault="00936244" w:rsidP="00936244">
            <w:pPr>
              <w:spacing w:before="100" w:beforeAutospacing="1" w:after="100" w:afterAutospacing="1" w:line="240" w:lineRule="atLeast"/>
              <w:jc w:val="center"/>
              <w:rPr>
                <w:sz w:val="20"/>
                <w:szCs w:val="20"/>
                <w:lang w:val="en-US"/>
              </w:rPr>
            </w:pPr>
            <w:r w:rsidRPr="00141D91">
              <w:rPr>
                <w:sz w:val="20"/>
                <w:szCs w:val="20"/>
                <w:lang w:val="en-US"/>
              </w:rPr>
              <w:t>3</w:t>
            </w:r>
          </w:p>
        </w:tc>
        <w:tc>
          <w:tcPr>
            <w:tcW w:w="850" w:type="dxa"/>
          </w:tcPr>
          <w:p w14:paraId="06320455" w14:textId="77777777" w:rsidR="00936244" w:rsidRPr="00141D91" w:rsidRDefault="00936244" w:rsidP="00936244">
            <w:pPr>
              <w:spacing w:before="100" w:beforeAutospacing="1" w:after="100" w:afterAutospacing="1" w:line="240" w:lineRule="atLeast"/>
              <w:jc w:val="center"/>
              <w:rPr>
                <w:sz w:val="20"/>
                <w:szCs w:val="20"/>
                <w:lang w:val="en-US"/>
              </w:rPr>
            </w:pPr>
            <w:r w:rsidRPr="00141D91">
              <w:rPr>
                <w:sz w:val="20"/>
                <w:szCs w:val="20"/>
                <w:lang w:val="en-US"/>
              </w:rPr>
              <w:t>6</w:t>
            </w:r>
          </w:p>
        </w:tc>
        <w:tc>
          <w:tcPr>
            <w:tcW w:w="851" w:type="dxa"/>
          </w:tcPr>
          <w:p w14:paraId="47DCEC5F" w14:textId="77777777" w:rsidR="00936244" w:rsidRPr="00141D91" w:rsidRDefault="00936244" w:rsidP="00936244">
            <w:pPr>
              <w:spacing w:before="100" w:beforeAutospacing="1" w:after="100" w:afterAutospacing="1" w:line="240" w:lineRule="atLeast"/>
              <w:jc w:val="center"/>
              <w:rPr>
                <w:rFonts w:ascii="Calibri" w:hAnsi="Calibri" w:cs="Arial"/>
                <w:bCs/>
                <w:kern w:val="24"/>
                <w:sz w:val="20"/>
                <w:szCs w:val="20"/>
              </w:rPr>
            </w:pPr>
            <w:r w:rsidRPr="00141D91">
              <w:rPr>
                <w:rFonts w:ascii="Calibri" w:hAnsi="Calibri" w:cs="Arial"/>
                <w:bCs/>
                <w:kern w:val="24"/>
                <w:sz w:val="20"/>
                <w:szCs w:val="20"/>
              </w:rPr>
              <w:t>18</w:t>
            </w:r>
          </w:p>
        </w:tc>
        <w:tc>
          <w:tcPr>
            <w:tcW w:w="708" w:type="dxa"/>
          </w:tcPr>
          <w:p w14:paraId="0164DAE6" w14:textId="77777777" w:rsidR="00936244" w:rsidRPr="00141D91" w:rsidRDefault="00936244" w:rsidP="00936244">
            <w:pPr>
              <w:spacing w:before="100" w:beforeAutospacing="1" w:after="100" w:afterAutospacing="1" w:line="240" w:lineRule="atLeast"/>
              <w:jc w:val="center"/>
              <w:rPr>
                <w:sz w:val="20"/>
                <w:szCs w:val="20"/>
                <w:lang w:val="en-US"/>
              </w:rPr>
            </w:pPr>
            <w:r w:rsidRPr="00141D91">
              <w:rPr>
                <w:sz w:val="20"/>
                <w:szCs w:val="20"/>
                <w:lang w:val="en-US"/>
              </w:rPr>
              <w:t>23</w:t>
            </w:r>
          </w:p>
        </w:tc>
        <w:tc>
          <w:tcPr>
            <w:tcW w:w="851" w:type="dxa"/>
          </w:tcPr>
          <w:p w14:paraId="152E49A0" w14:textId="77777777" w:rsidR="00936244" w:rsidRPr="00141D91" w:rsidRDefault="00936244" w:rsidP="00936244">
            <w:pPr>
              <w:spacing w:before="100" w:beforeAutospacing="1" w:after="100" w:afterAutospacing="1" w:line="240" w:lineRule="atLeast"/>
              <w:jc w:val="center"/>
              <w:rPr>
                <w:sz w:val="20"/>
                <w:szCs w:val="20"/>
                <w:lang w:val="en-US"/>
              </w:rPr>
            </w:pPr>
            <w:r w:rsidRPr="00141D91">
              <w:rPr>
                <w:sz w:val="20"/>
                <w:szCs w:val="20"/>
                <w:lang w:val="en-US"/>
              </w:rPr>
              <w:t>5</w:t>
            </w:r>
          </w:p>
        </w:tc>
        <w:tc>
          <w:tcPr>
            <w:tcW w:w="1276" w:type="dxa"/>
          </w:tcPr>
          <w:p w14:paraId="2BCB4F14" w14:textId="77777777" w:rsidR="00936244" w:rsidRPr="00141D91" w:rsidRDefault="00936244" w:rsidP="00936244">
            <w:pPr>
              <w:spacing w:before="100" w:beforeAutospacing="1" w:after="100" w:afterAutospacing="1" w:line="240" w:lineRule="atLeast"/>
              <w:jc w:val="center"/>
              <w:rPr>
                <w:rFonts w:ascii="Calibri" w:hAnsi="Calibri" w:cs="Arial"/>
                <w:kern w:val="24"/>
                <w:sz w:val="20"/>
                <w:szCs w:val="20"/>
              </w:rPr>
            </w:pPr>
            <w:r w:rsidRPr="00141D91">
              <w:rPr>
                <w:rFonts w:ascii="Calibri" w:hAnsi="Calibri" w:cs="Arial"/>
                <w:kern w:val="24"/>
                <w:sz w:val="20"/>
                <w:szCs w:val="20"/>
              </w:rPr>
              <w:t>104</w:t>
            </w:r>
          </w:p>
        </w:tc>
      </w:tr>
    </w:tbl>
    <w:p w14:paraId="31DF6464" w14:textId="6A2994C3" w:rsidR="00936244" w:rsidRPr="00542F90" w:rsidRDefault="00936244" w:rsidP="00936244">
      <w:pPr>
        <w:jc w:val="both"/>
        <w:rPr>
          <w:lang w:val="en-US"/>
        </w:rPr>
      </w:pPr>
    </w:p>
    <w:p w14:paraId="50FD3EE9" w14:textId="77777777" w:rsidR="000F7379" w:rsidRDefault="000F7379" w:rsidP="00E27422">
      <w:pPr>
        <w:rPr>
          <w:lang w:val="en-US"/>
        </w:rPr>
      </w:pPr>
    </w:p>
    <w:p w14:paraId="1E63434B" w14:textId="77777777" w:rsidR="000F7379" w:rsidRDefault="000F7379" w:rsidP="00E27422">
      <w:pPr>
        <w:rPr>
          <w:lang w:val="en-US"/>
        </w:rPr>
      </w:pPr>
    </w:p>
    <w:p w14:paraId="7A6139DC" w14:textId="77777777" w:rsidR="00E27422" w:rsidRPr="00E27422" w:rsidRDefault="00E27422" w:rsidP="00E27422">
      <w:pPr>
        <w:rPr>
          <w:lang w:val="en-US"/>
        </w:rPr>
      </w:pPr>
    </w:p>
    <w:p w14:paraId="59A8B084" w14:textId="1CFD1BE4" w:rsidR="00015EB8" w:rsidRPr="00D76881" w:rsidRDefault="00D76881" w:rsidP="00D76881">
      <w:pPr>
        <w:pStyle w:val="Titolo2"/>
        <w:rPr>
          <w:rFonts w:asciiTheme="minorHAnsi" w:hAnsiTheme="minorHAnsi" w:cs="Times New Roman"/>
          <w:color w:val="auto"/>
          <w:sz w:val="22"/>
          <w:szCs w:val="22"/>
          <w:lang w:val="en-US"/>
        </w:rPr>
      </w:pPr>
      <w:r>
        <w:rPr>
          <w:rFonts w:asciiTheme="minorHAnsi" w:hAnsiTheme="minorHAnsi" w:cs="Times New Roman"/>
          <w:color w:val="auto"/>
          <w:sz w:val="22"/>
          <w:szCs w:val="22"/>
          <w:lang w:val="en-US"/>
        </w:rPr>
        <w:lastRenderedPageBreak/>
        <w:t xml:space="preserve">Figure S1. </w:t>
      </w:r>
      <w:r w:rsidRPr="00D76881">
        <w:rPr>
          <w:rFonts w:asciiTheme="minorHAnsi" w:hAnsiTheme="minorHAnsi" w:cs="Times New Roman"/>
          <w:b w:val="0"/>
          <w:color w:val="auto"/>
          <w:sz w:val="22"/>
          <w:szCs w:val="22"/>
          <w:lang w:val="en-US"/>
        </w:rPr>
        <w:t>Conceptual workflow used for the clustering of 104 aerosol compounds.</w:t>
      </w:r>
    </w:p>
    <w:p w14:paraId="0F071C31" w14:textId="1ED14644" w:rsidR="00605BD0" w:rsidRDefault="00605BD0">
      <w:pPr>
        <w:spacing w:line="240" w:lineRule="auto"/>
        <w:jc w:val="both"/>
        <w:rPr>
          <w:rFonts w:ascii="Times New Roman" w:hAnsi="Times New Roman" w:cs="Times New Roman"/>
          <w:b/>
          <w:lang w:val="en-US"/>
        </w:rPr>
      </w:pPr>
      <w:r w:rsidRPr="00CA5C2D">
        <w:rPr>
          <w:rFonts w:cs="Times New Roman"/>
          <w:noProof/>
          <w:lang w:eastAsia="it-IT"/>
        </w:rPr>
        <w:drawing>
          <wp:inline distT="0" distB="0" distL="0" distR="0" wp14:anchorId="5D815699" wp14:editId="32CA8B06">
            <wp:extent cx="6120130" cy="1934845"/>
            <wp:effectExtent l="19050" t="19050" r="13970" b="273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_draft.png"/>
                    <pic:cNvPicPr/>
                  </pic:nvPicPr>
                  <pic:blipFill>
                    <a:blip r:embed="rId7">
                      <a:extLst>
                        <a:ext uri="{28A0092B-C50C-407E-A947-70E740481C1C}">
                          <a14:useLocalDpi xmlns:a14="http://schemas.microsoft.com/office/drawing/2010/main" val="0"/>
                        </a:ext>
                      </a:extLst>
                    </a:blip>
                    <a:stretch>
                      <a:fillRect/>
                    </a:stretch>
                  </pic:blipFill>
                  <pic:spPr>
                    <a:xfrm>
                      <a:off x="0" y="0"/>
                      <a:ext cx="6120130" cy="1934845"/>
                    </a:xfrm>
                    <a:prstGeom prst="rect">
                      <a:avLst/>
                    </a:prstGeom>
                    <a:ln>
                      <a:solidFill>
                        <a:schemeClr val="accent1"/>
                      </a:solidFill>
                    </a:ln>
                  </pic:spPr>
                </pic:pic>
              </a:graphicData>
            </a:graphic>
          </wp:inline>
        </w:drawing>
      </w:r>
    </w:p>
    <w:p w14:paraId="7167622E" w14:textId="77777777" w:rsidR="00535BCD" w:rsidRDefault="00535BCD" w:rsidP="00535BCD">
      <w:pPr>
        <w:pStyle w:val="Testonormale"/>
        <w:rPr>
          <w:rFonts w:asciiTheme="minorHAnsi" w:hAnsiTheme="minorHAnsi" w:cs="Times New Roman"/>
          <w:b/>
          <w:sz w:val="22"/>
          <w:szCs w:val="22"/>
          <w:lang w:val="en-US"/>
        </w:rPr>
      </w:pPr>
      <w:r>
        <w:rPr>
          <w:rFonts w:asciiTheme="minorHAnsi" w:hAnsiTheme="minorHAnsi" w:cs="Times New Roman"/>
          <w:b/>
          <w:sz w:val="22"/>
          <w:szCs w:val="22"/>
          <w:lang w:val="en-US"/>
        </w:rPr>
        <w:br w:type="page"/>
      </w:r>
    </w:p>
    <w:p w14:paraId="53EE07CF" w14:textId="63012DA4" w:rsidR="00535BCD" w:rsidRPr="006C6E49" w:rsidRDefault="00535BCD" w:rsidP="001C4C44">
      <w:pPr>
        <w:pStyle w:val="Titolo2"/>
        <w:rPr>
          <w:rFonts w:cs="Courier New"/>
          <w:lang w:val="en-US"/>
        </w:rPr>
      </w:pPr>
      <w:r w:rsidRPr="001C4C44">
        <w:rPr>
          <w:rFonts w:asciiTheme="minorHAnsi" w:hAnsiTheme="minorHAnsi" w:cs="Times New Roman"/>
          <w:color w:val="auto"/>
          <w:sz w:val="22"/>
          <w:szCs w:val="22"/>
          <w:lang w:val="en-US"/>
        </w:rPr>
        <w:lastRenderedPageBreak/>
        <w:t>Figure S2.</w:t>
      </w:r>
      <w:r w:rsidRPr="006C6E49">
        <w:rPr>
          <w:lang w:val="en-US"/>
        </w:rPr>
        <w:t xml:space="preserve"> </w:t>
      </w:r>
      <w:r w:rsidR="00FC7C28" w:rsidRPr="001C4C44">
        <w:rPr>
          <w:rFonts w:asciiTheme="minorHAnsi" w:hAnsiTheme="minorHAnsi"/>
          <w:b w:val="0"/>
          <w:color w:val="auto"/>
          <w:sz w:val="22"/>
          <w:szCs w:val="22"/>
          <w:lang w:val="en-US"/>
        </w:rPr>
        <w:t>PCA l</w:t>
      </w:r>
      <w:r w:rsidRPr="001C4C44">
        <w:rPr>
          <w:rFonts w:asciiTheme="minorHAnsi" w:hAnsiTheme="minorHAnsi"/>
          <w:b w:val="0"/>
          <w:color w:val="auto"/>
          <w:sz w:val="22"/>
          <w:szCs w:val="22"/>
          <w:lang w:val="en-US"/>
        </w:rPr>
        <w:t>oading plot</w:t>
      </w:r>
      <w:r w:rsidR="00FC7C28" w:rsidRPr="001C4C44">
        <w:rPr>
          <w:rFonts w:asciiTheme="minorHAnsi" w:hAnsiTheme="minorHAnsi"/>
          <w:b w:val="0"/>
          <w:color w:val="auto"/>
          <w:sz w:val="22"/>
          <w:szCs w:val="22"/>
          <w:lang w:val="en-US"/>
        </w:rPr>
        <w:t>*</w:t>
      </w:r>
      <w:r w:rsidRPr="001C4C44">
        <w:rPr>
          <w:rFonts w:asciiTheme="minorHAnsi" w:hAnsiTheme="minorHAnsi"/>
          <w:b w:val="0"/>
          <w:color w:val="auto"/>
          <w:sz w:val="22"/>
          <w:szCs w:val="22"/>
          <w:lang w:val="en-US"/>
        </w:rPr>
        <w:t>.</w:t>
      </w:r>
    </w:p>
    <w:p w14:paraId="6DAE6BAF" w14:textId="77777777" w:rsidR="00535BCD" w:rsidRPr="006C6E49" w:rsidRDefault="00535BCD" w:rsidP="00535BCD">
      <w:pPr>
        <w:pStyle w:val="Testonormale"/>
        <w:rPr>
          <w:rFonts w:asciiTheme="minorHAnsi" w:hAnsiTheme="minorHAnsi" w:cs="Courier New"/>
          <w:sz w:val="22"/>
          <w:szCs w:val="22"/>
          <w:lang w:val="en-US"/>
        </w:rPr>
      </w:pPr>
    </w:p>
    <w:p w14:paraId="57661075" w14:textId="77777777" w:rsidR="00535BCD" w:rsidRDefault="00535BCD" w:rsidP="00535BCD">
      <w:pPr>
        <w:pStyle w:val="Testonormale"/>
        <w:jc w:val="center"/>
        <w:rPr>
          <w:rFonts w:asciiTheme="minorHAnsi" w:hAnsiTheme="minorHAnsi" w:cs="Courier New"/>
          <w:sz w:val="22"/>
          <w:szCs w:val="22"/>
          <w:lang w:val="en-US"/>
        </w:rPr>
      </w:pPr>
      <w:r>
        <w:rPr>
          <w:rFonts w:asciiTheme="minorHAnsi" w:hAnsiTheme="minorHAnsi" w:cs="Courier New"/>
          <w:noProof/>
          <w:sz w:val="22"/>
          <w:szCs w:val="22"/>
          <w:lang w:eastAsia="it-IT"/>
        </w:rPr>
        <w:drawing>
          <wp:inline distT="0" distB="0" distL="0" distR="0" wp14:anchorId="26AB2226" wp14:editId="0E49CEDE">
            <wp:extent cx="5884433" cy="381318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8932" cy="3822576"/>
                    </a:xfrm>
                    <a:prstGeom prst="rect">
                      <a:avLst/>
                    </a:prstGeom>
                    <a:noFill/>
                  </pic:spPr>
                </pic:pic>
              </a:graphicData>
            </a:graphic>
          </wp:inline>
        </w:drawing>
      </w:r>
    </w:p>
    <w:p w14:paraId="01924A53" w14:textId="77777777" w:rsidR="00535BCD" w:rsidRDefault="00535BCD" w:rsidP="00535BCD">
      <w:pPr>
        <w:pStyle w:val="Testonormale"/>
        <w:rPr>
          <w:rFonts w:asciiTheme="minorHAnsi" w:hAnsiTheme="minorHAnsi" w:cs="Courier New"/>
          <w:i/>
          <w:sz w:val="22"/>
          <w:szCs w:val="22"/>
          <w:lang w:val="en-US"/>
        </w:rPr>
      </w:pPr>
    </w:p>
    <w:p w14:paraId="2463E093" w14:textId="3D429BA8" w:rsidR="00535BCD" w:rsidRPr="00FC7C28" w:rsidRDefault="00FC7C28" w:rsidP="00FC7C28">
      <w:pPr>
        <w:pStyle w:val="Testonormale"/>
        <w:jc w:val="both"/>
        <w:rPr>
          <w:rFonts w:asciiTheme="minorHAnsi" w:hAnsiTheme="minorHAnsi" w:cs="Courier New"/>
          <w:sz w:val="18"/>
          <w:szCs w:val="18"/>
          <w:lang w:val="en-US"/>
        </w:rPr>
      </w:pPr>
      <w:r w:rsidRPr="00FC7C28">
        <w:rPr>
          <w:rFonts w:asciiTheme="minorHAnsi" w:hAnsiTheme="minorHAnsi" w:cs="Courier New"/>
          <w:sz w:val="18"/>
          <w:szCs w:val="18"/>
          <w:lang w:val="en-US"/>
        </w:rPr>
        <w:t>*</w:t>
      </w:r>
      <w:r w:rsidR="00535BCD" w:rsidRPr="00FC7C28">
        <w:rPr>
          <w:rFonts w:asciiTheme="minorHAnsi" w:hAnsiTheme="minorHAnsi" w:cs="Courier New"/>
          <w:sz w:val="18"/>
          <w:szCs w:val="18"/>
          <w:lang w:val="en-US"/>
        </w:rPr>
        <w:t>Legend of descriptors</w:t>
      </w:r>
      <w:r w:rsidR="00375C6C">
        <w:rPr>
          <w:rFonts w:asciiTheme="minorHAnsi" w:hAnsiTheme="minorHAnsi" w:cs="Courier New"/>
          <w:sz w:val="18"/>
          <w:szCs w:val="18"/>
          <w:lang w:val="en-US"/>
        </w:rPr>
        <w:t xml:space="preserve"> (see Table S5)</w:t>
      </w:r>
      <w:r w:rsidR="00535BCD" w:rsidRPr="00535BCD">
        <w:rPr>
          <w:rFonts w:asciiTheme="minorHAnsi" w:hAnsiTheme="minorHAnsi" w:cs="Courier New"/>
          <w:i/>
          <w:sz w:val="18"/>
          <w:szCs w:val="18"/>
          <w:lang w:val="en-US"/>
        </w:rPr>
        <w:t>:</w:t>
      </w:r>
      <w:r>
        <w:rPr>
          <w:rFonts w:asciiTheme="minorHAnsi" w:hAnsiTheme="minorHAnsi" w:cs="Courier New"/>
          <w:i/>
          <w:sz w:val="18"/>
          <w:szCs w:val="18"/>
          <w:lang w:val="en-US"/>
        </w:rPr>
        <w:t xml:space="preserve"> </w:t>
      </w:r>
      <w:r w:rsidR="00535BCD" w:rsidRPr="00535BCD">
        <w:rPr>
          <w:rFonts w:asciiTheme="minorHAnsi" w:hAnsiTheme="minorHAnsi" w:cs="Courier New"/>
          <w:i/>
          <w:sz w:val="18"/>
          <w:szCs w:val="18"/>
          <w:lang w:val="en-US"/>
        </w:rPr>
        <w:t>2-D-Space constitutional descriptors:</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nAtom</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nBondsD2</w:t>
      </w:r>
      <w:r>
        <w:rPr>
          <w:rFonts w:asciiTheme="minorHAnsi" w:hAnsiTheme="minorHAnsi" w:cs="Courier New"/>
          <w:sz w:val="18"/>
          <w:szCs w:val="18"/>
          <w:lang w:val="en-US"/>
        </w:rPr>
        <w:t xml:space="preserve">, 3) </w:t>
      </w:r>
      <w:r w:rsidR="00535BCD" w:rsidRPr="00535BCD">
        <w:rPr>
          <w:rFonts w:asciiTheme="minorHAnsi" w:hAnsiTheme="minorHAnsi" w:cs="Courier New"/>
          <w:sz w:val="18"/>
          <w:szCs w:val="18"/>
          <w:lang w:val="en-US"/>
        </w:rPr>
        <w:t>C3SP2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C1SP3</w:t>
      </w:r>
      <w:r>
        <w:rPr>
          <w:rFonts w:asciiTheme="minorHAnsi" w:hAnsiTheme="minorHAnsi" w:cs="Courier New"/>
          <w:sz w:val="18"/>
          <w:szCs w:val="18"/>
          <w:lang w:val="en-US"/>
        </w:rPr>
        <w:t xml:space="preserve">, 5) </w:t>
      </w:r>
      <w:r w:rsidR="00535BCD" w:rsidRPr="00535BCD">
        <w:rPr>
          <w:rFonts w:asciiTheme="minorHAnsi" w:hAnsiTheme="minorHAnsi" w:cs="Courier New"/>
          <w:sz w:val="18"/>
          <w:szCs w:val="18"/>
          <w:lang w:val="en-US"/>
        </w:rPr>
        <w:t>C2SP3</w:t>
      </w:r>
      <w:r>
        <w:rPr>
          <w:rFonts w:asciiTheme="minorHAnsi" w:hAnsiTheme="minorHAnsi" w:cs="Courier New"/>
          <w:sz w:val="18"/>
          <w:szCs w:val="18"/>
          <w:lang w:val="en-US"/>
        </w:rPr>
        <w:t xml:space="preserve">, 6) </w:t>
      </w:r>
      <w:r w:rsidR="00535BCD" w:rsidRPr="00535BCD">
        <w:rPr>
          <w:rFonts w:asciiTheme="minorHAnsi" w:hAnsiTheme="minorHAnsi" w:cs="Courier New"/>
          <w:sz w:val="18"/>
          <w:szCs w:val="18"/>
          <w:lang w:val="en-US"/>
        </w:rPr>
        <w:t>C3SP3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C4SP3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nFRing</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nHeteroRing</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10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nRotBt</w:t>
      </w:r>
      <w:r>
        <w:rPr>
          <w:rFonts w:asciiTheme="minorHAnsi" w:hAnsiTheme="minorHAnsi" w:cs="Courier New"/>
          <w:sz w:val="18"/>
          <w:szCs w:val="18"/>
          <w:lang w:val="en-US"/>
        </w:rPr>
        <w:t xml:space="preserve">; </w:t>
      </w:r>
      <w:r w:rsidR="00535BCD" w:rsidRPr="00535BCD">
        <w:rPr>
          <w:rFonts w:asciiTheme="minorHAnsi" w:hAnsiTheme="minorHAnsi" w:cs="Courier New"/>
          <w:i/>
          <w:sz w:val="18"/>
          <w:szCs w:val="18"/>
          <w:lang w:val="en-US"/>
        </w:rPr>
        <w:t>2-D-Space electronic properties descriptors:</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11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ETA_dEpsilon_C</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12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nHBAcc_Lipinski</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13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nHBDon_Lipinski</w:t>
      </w:r>
      <w:r>
        <w:rPr>
          <w:rFonts w:asciiTheme="minorHAnsi" w:hAnsiTheme="minorHAnsi" w:cs="Courier New"/>
          <w:sz w:val="18"/>
          <w:szCs w:val="18"/>
          <w:lang w:val="en-US"/>
        </w:rPr>
        <w:t xml:space="preserve">; </w:t>
      </w:r>
      <w:r w:rsidR="00535BCD" w:rsidRPr="00535BCD">
        <w:rPr>
          <w:rFonts w:asciiTheme="minorHAnsi" w:hAnsiTheme="minorHAnsi" w:cs="Courier New"/>
          <w:i/>
          <w:sz w:val="18"/>
          <w:szCs w:val="18"/>
          <w:lang w:val="en-US"/>
        </w:rPr>
        <w:t>2-D-Space topological descriptors:</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14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ETA_Eta_B</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15</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MPC2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16</w:t>
      </w:r>
      <w:r>
        <w:rPr>
          <w:rFonts w:asciiTheme="minorHAnsi" w:hAnsiTheme="minorHAnsi" w:cs="Courier New"/>
          <w:sz w:val="18"/>
          <w:szCs w:val="18"/>
          <w:lang w:val="en-US"/>
        </w:rPr>
        <w:t>)</w:t>
      </w:r>
      <w:r w:rsidR="00535BCD" w:rsidRPr="00535BCD">
        <w:rPr>
          <w:rFonts w:asciiTheme="minorHAnsi" w:hAnsiTheme="minorHAnsi" w:cs="Courier New"/>
          <w:sz w:val="18"/>
          <w:szCs w:val="18"/>
          <w:lang w:val="en-US"/>
        </w:rPr>
        <w:tab/>
        <w:t>MPC7</w:t>
      </w:r>
      <w:r>
        <w:rPr>
          <w:rFonts w:asciiTheme="minorHAnsi" w:hAnsiTheme="minorHAnsi" w:cs="Courier New"/>
          <w:sz w:val="18"/>
          <w:szCs w:val="18"/>
          <w:lang w:val="en-US"/>
        </w:rPr>
        <w:t xml:space="preserve">; </w:t>
      </w:r>
      <w:r w:rsidR="00535BCD" w:rsidRPr="00535BCD">
        <w:rPr>
          <w:rFonts w:asciiTheme="minorHAnsi" w:hAnsiTheme="minorHAnsi" w:cs="Courier New"/>
          <w:i/>
          <w:sz w:val="18"/>
          <w:szCs w:val="18"/>
          <w:lang w:val="en-US"/>
        </w:rPr>
        <w:t>2-D-Space shape descriptors:</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17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ETA_Shape_X</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18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topoShape</w:t>
      </w:r>
      <w:r>
        <w:rPr>
          <w:rFonts w:asciiTheme="minorHAnsi" w:hAnsiTheme="minorHAnsi" w:cs="Courier New"/>
          <w:sz w:val="18"/>
          <w:szCs w:val="18"/>
          <w:lang w:val="en-US"/>
        </w:rPr>
        <w:t xml:space="preserve">; </w:t>
      </w:r>
      <w:r w:rsidR="00535BCD" w:rsidRPr="00535BCD">
        <w:rPr>
          <w:rFonts w:asciiTheme="minorHAnsi" w:hAnsiTheme="minorHAnsi" w:cs="Courier New"/>
          <w:i/>
          <w:sz w:val="18"/>
          <w:szCs w:val="18"/>
          <w:lang w:val="en-US"/>
        </w:rPr>
        <w:t>Physico-chemical descriptors:</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19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XLogP</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apol</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FMF</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MLFER_S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acd_LogP_Consensus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HOMO (eV)</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25</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LUMO(eV)</w:t>
      </w:r>
      <w:r>
        <w:rPr>
          <w:rFonts w:asciiTheme="minorHAnsi" w:hAnsiTheme="minorHAnsi" w:cs="Courier New"/>
          <w:sz w:val="18"/>
          <w:szCs w:val="18"/>
          <w:lang w:val="en-US"/>
        </w:rPr>
        <w:t xml:space="preserve">; </w:t>
      </w:r>
      <w:r w:rsidR="00535BCD" w:rsidRPr="00535BCD">
        <w:rPr>
          <w:rFonts w:asciiTheme="minorHAnsi" w:hAnsiTheme="minorHAnsi" w:cs="Courier New"/>
          <w:i/>
          <w:sz w:val="18"/>
          <w:szCs w:val="18"/>
          <w:lang w:val="en-US"/>
        </w:rPr>
        <w:t>Mechanistic descriptors (DNA alerts):</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26</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AN2 &gt;&gt; Michael-type addition on alpha, beta-unsaturated carbonyl compounds &gt;&gt; Four- and Five-Membered Lactones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AN2 &gt;&gt;  Michael-type addition, quinoid structures &gt;&gt; Quinones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AN2 &gt;&gt; Nucleophilic addition to alpha, beta-unsaturated carbonyl compounds &gt;&gt; alpha, beta-Unsaturated Aldehydes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29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AN2 &gt;&gt; Schiff base formation &gt;&gt; alpha, beta-Unsaturated Aldehydes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AN2 &gt;&gt; Schiff base formation &gt;&gt; Dicarbonyl compounds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No alerts(DNA binding OASIS v.1.3)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Non-covalent interaction &gt;&gt; DNA intercalation &gt;&gt; Fused-Ring Nitroaromatics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Non-covalent interaction &gt;&gt; DNA intercalation &gt;&gt; Quinones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Radical &gt;&gt; Radical mechanism by ROS formation (indirect) or direct radical attack on DNA &gt;&gt; Organic Peroxy Compounds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35</w:t>
      </w:r>
      <w:r>
        <w:rPr>
          <w:rFonts w:asciiTheme="minorHAnsi" w:hAnsiTheme="minorHAnsi" w:cs="Courier New"/>
          <w:sz w:val="18"/>
          <w:szCs w:val="18"/>
          <w:lang w:val="en-US"/>
        </w:rPr>
        <w:t>)</w:t>
      </w:r>
      <w:r w:rsidR="00535BCD" w:rsidRPr="00535BCD">
        <w:rPr>
          <w:rFonts w:asciiTheme="minorHAnsi" w:hAnsiTheme="minorHAnsi" w:cs="Courier New"/>
          <w:sz w:val="18"/>
          <w:szCs w:val="18"/>
          <w:lang w:val="en-US"/>
        </w:rPr>
        <w:tab/>
        <w:t>Radical &gt;&gt; Radical mechanism via ROS formation (indirect) &gt;&gt; Fused-Ring Nitroaromatics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36</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Radical &gt;&gt; Radical mechanism via ROS formation (indirect) &gt;&gt; Nitrophenols, Nitrophenyl Ethers and Nitrobenzoic Acids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Radical &gt;&gt; Radical mechanism via ROS formation (indirect) &gt;&gt; Quinones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Alkylation after metabolically formed carbenium ion species &gt;&gt; Polycyclic Aromatic Hydrocarbon Derivatives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39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Nucleophilic attack after carbenium ion formation &gt;&gt; N-Nitroso Compounds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Nucleophilic attack after carbenium ion formation &gt;&gt; Specific Acetate Esters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41</w:t>
      </w:r>
      <w:r>
        <w:rPr>
          <w:rFonts w:asciiTheme="minorHAnsi" w:hAnsiTheme="minorHAnsi" w:cs="Courier New"/>
          <w:sz w:val="18"/>
          <w:szCs w:val="18"/>
          <w:lang w:val="en-US"/>
        </w:rPr>
        <w:t>)</w:t>
      </w:r>
      <w:r w:rsidR="00375C6C">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Nucleophilic attack after nitrenium and/or carbenium ion formation &gt;&gt; N-Nitroso Compounds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42</w:t>
      </w:r>
      <w:r>
        <w:rPr>
          <w:rFonts w:asciiTheme="minorHAnsi" w:hAnsiTheme="minorHAnsi" w:cs="Courier New"/>
          <w:sz w:val="18"/>
          <w:szCs w:val="18"/>
          <w:lang w:val="en-US"/>
        </w:rPr>
        <w:t>)</w:t>
      </w:r>
      <w:r w:rsidR="00375C6C">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Nucleophilic attack after reduction and nitrenium ion formation &gt;&gt; Fused-Ring Nitroaromatics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Nucleophilic attack after reduction and nitrenium ion formation &gt;&gt; Nitrophenols, Nitrophenyl Ethers and Nitrobenzoic Acids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Acylation &gt;&gt; Specific Acetate Esters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45</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Alkylation, direct acting epoxides and related &gt;&gt; Epoxides and Aziridines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46</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Alkylation, direct acting epoxides and related after P450-mediated metabolic activation &gt;&gt; Polycyclic Aromatic Hydrocarbon Derivatives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Alkylation, ring opening SN2 reaction &gt;&gt; Four- and Five-Membered Lactones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Nucleophilic substitution at sp3 Carbon atom &gt;&gt; Specific Acetate Esters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49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No alerts (DNA alerts for AMES, MN and CA by OASIS v.1.3)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Schiff base formers &gt;&gt; Direct Acting Schiff Base Formers &gt;&gt; Mono aldehydes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51</w:t>
      </w:r>
      <w:r>
        <w:rPr>
          <w:rFonts w:asciiTheme="minorHAnsi" w:hAnsiTheme="minorHAnsi" w:cs="Courier New"/>
          <w:sz w:val="18"/>
          <w:szCs w:val="18"/>
          <w:lang w:val="en-US"/>
        </w:rPr>
        <w:t>)</w:t>
      </w:r>
      <w:r w:rsidR="00375C6C">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Iminium Ion Formation &gt;&gt; Aliphatic tertiary amines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Schiff base formers &gt;&gt; Direct Acting Schiff Base Formers &gt;&gt; Alpha-beta-dicarbonyl</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Nitrenium Ion formation &gt;&gt; Aromatic nitro</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Michael addition &gt;&gt; P450 Mediated Activation to Quinones and Quinone-type Chemicals &gt;&gt; Alkyl phenols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55</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Michael addition &gt;&gt; Polarised Alkenes-Michael addition &gt;&gt; Alpha, beta- unsaturated ketones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56</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Michael addition &gt;&gt; P450 Mediated Activation to Quinones and Quinone-type Chemicals &gt;&gt; Hydroquinones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Carbenium Ion Formation &gt;&gt; Polycyclic (PAHs) and heterocyclic (HACs) aromatic hydrocarbons-SN1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SN1 &gt;&gt; Carbenium Ion Formation &gt;&gt; N-Nitroso (alkylation)</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59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Direct Acting Epoxides and related &gt;&gt; Epoxides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Michael addition &gt;&gt; Quinones and Quinone-type Chemicals &gt;&gt; Quinones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SN2 &gt;&gt; Nitrosation-SN2 &gt;&gt; Nitroso-SN2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62</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No alerts (DNA binding OECD)</w:t>
      </w:r>
      <w:r>
        <w:rPr>
          <w:rFonts w:asciiTheme="minorHAnsi" w:hAnsiTheme="minorHAnsi" w:cs="Courier New"/>
          <w:sz w:val="18"/>
          <w:szCs w:val="18"/>
          <w:lang w:val="en-US"/>
        </w:rPr>
        <w:t xml:space="preserve">; </w:t>
      </w:r>
      <w:r w:rsidR="00535BCD" w:rsidRPr="00535BCD">
        <w:rPr>
          <w:rFonts w:asciiTheme="minorHAnsi" w:hAnsiTheme="minorHAnsi" w:cs="Courier New"/>
          <w:i/>
          <w:sz w:val="18"/>
          <w:szCs w:val="18"/>
          <w:lang w:val="en-US"/>
        </w:rPr>
        <w:t>Mechanistic descriptors (in vivo mutagenicity):</w:t>
      </w:r>
      <w:r>
        <w:rPr>
          <w:rFonts w:asciiTheme="minorHAnsi" w:hAnsiTheme="minorHAnsi" w:cs="Courier New"/>
          <w:i/>
          <w:sz w:val="18"/>
          <w:szCs w:val="18"/>
          <w:lang w:val="en-US"/>
        </w:rPr>
        <w:t xml:space="preserve"> </w:t>
      </w:r>
      <w:r w:rsidR="00535BCD" w:rsidRPr="00535BCD">
        <w:rPr>
          <w:rFonts w:asciiTheme="minorHAnsi" w:hAnsiTheme="minorHAnsi" w:cs="Courier New"/>
          <w:sz w:val="18"/>
          <w:szCs w:val="18"/>
          <w:lang w:val="en-US"/>
        </w:rPr>
        <w:t>63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9,10-dihydrophenanthrenes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Alkyl and aryl N-nitroso groups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65</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Alkyl hydroperoxides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66</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Epoxides and aziridines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67</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Nitro-aromatic</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68</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Polycyclic Aromatic Hydrocarbons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69</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Quinones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70</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Simple aldehyde</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71</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lastRenderedPageBreak/>
        <w:t>alpha,beta-unsaturated carbonyls</w:t>
      </w:r>
      <w:r>
        <w:rPr>
          <w:rFonts w:asciiTheme="minorHAnsi" w:hAnsiTheme="minorHAnsi" w:cs="Courier New"/>
          <w:sz w:val="18"/>
          <w:szCs w:val="18"/>
          <w:lang w:val="en-US"/>
        </w:rPr>
        <w:t xml:space="preserve">, 72) </w:t>
      </w:r>
      <w:r w:rsidR="00535BCD" w:rsidRPr="00535BCD">
        <w:rPr>
          <w:rFonts w:asciiTheme="minorHAnsi" w:hAnsiTheme="minorHAnsi" w:cs="Courier New"/>
          <w:sz w:val="18"/>
          <w:szCs w:val="18"/>
          <w:lang w:val="en-US"/>
        </w:rPr>
        <w:t>No alerts(in vitro ISS)</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73</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H-acceptor-path3-H-acceptor</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74</w:t>
      </w:r>
      <w:r>
        <w:rPr>
          <w:rFonts w:asciiTheme="minorHAnsi" w:hAnsiTheme="minorHAnsi" w:cs="Courier New"/>
          <w:sz w:val="18"/>
          <w:szCs w:val="18"/>
          <w:lang w:val="en-US"/>
        </w:rPr>
        <w:t xml:space="preserve">) </w:t>
      </w:r>
      <w:r w:rsidR="00535BCD" w:rsidRPr="00535BCD">
        <w:rPr>
          <w:rFonts w:asciiTheme="minorHAnsi" w:hAnsiTheme="minorHAnsi" w:cs="Courier New"/>
          <w:sz w:val="18"/>
          <w:szCs w:val="18"/>
          <w:lang w:val="en-US"/>
        </w:rPr>
        <w:t>Oxolane</w:t>
      </w:r>
      <w:r>
        <w:rPr>
          <w:rFonts w:asciiTheme="minorHAnsi" w:hAnsiTheme="minorHAnsi" w:cs="Courier New"/>
          <w:sz w:val="18"/>
          <w:szCs w:val="18"/>
          <w:lang w:val="en-US"/>
        </w:rPr>
        <w:t xml:space="preserve">, </w:t>
      </w:r>
      <w:r w:rsidR="00535BCD" w:rsidRPr="00FC7C28">
        <w:rPr>
          <w:rFonts w:asciiTheme="minorHAnsi" w:hAnsiTheme="minorHAnsi" w:cs="Courier New"/>
          <w:sz w:val="18"/>
          <w:szCs w:val="18"/>
          <w:lang w:val="en-US"/>
        </w:rPr>
        <w:t>75</w:t>
      </w:r>
      <w:r>
        <w:rPr>
          <w:rFonts w:asciiTheme="minorHAnsi" w:hAnsiTheme="minorHAnsi" w:cs="Courier New"/>
          <w:sz w:val="18"/>
          <w:szCs w:val="18"/>
          <w:lang w:val="en-US"/>
        </w:rPr>
        <w:t xml:space="preserve">) </w:t>
      </w:r>
      <w:r w:rsidR="00535BCD" w:rsidRPr="00FC7C28">
        <w:rPr>
          <w:rFonts w:asciiTheme="minorHAnsi" w:hAnsiTheme="minorHAnsi" w:cs="Courier New"/>
          <w:sz w:val="18"/>
          <w:szCs w:val="18"/>
          <w:lang w:val="en-US"/>
        </w:rPr>
        <w:t>No alerts(in vivo ISS)</w:t>
      </w:r>
      <w:r>
        <w:rPr>
          <w:rFonts w:asciiTheme="minorHAnsi" w:hAnsiTheme="minorHAnsi" w:cs="Courier New"/>
          <w:sz w:val="18"/>
          <w:szCs w:val="18"/>
          <w:lang w:val="en-US"/>
        </w:rPr>
        <w:t>.</w:t>
      </w:r>
    </w:p>
    <w:p w14:paraId="28DE260A" w14:textId="77777777" w:rsidR="00535BCD" w:rsidRPr="00535BCD" w:rsidRDefault="00535BCD" w:rsidP="00FE4BC6">
      <w:pPr>
        <w:spacing w:line="240" w:lineRule="auto"/>
        <w:jc w:val="both"/>
        <w:rPr>
          <w:rFonts w:ascii="Times New Roman" w:hAnsi="Times New Roman" w:cs="Times New Roman"/>
          <w:b/>
          <w:sz w:val="18"/>
          <w:szCs w:val="18"/>
          <w:lang w:val="en-US"/>
        </w:rPr>
      </w:pPr>
    </w:p>
    <w:sectPr w:rsidR="00535BCD" w:rsidRPr="00535BC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8C1AF" w14:textId="77777777" w:rsidR="00F6209B" w:rsidRDefault="00F6209B" w:rsidP="00F007BC">
      <w:pPr>
        <w:spacing w:after="0" w:line="240" w:lineRule="auto"/>
      </w:pPr>
      <w:r>
        <w:separator/>
      </w:r>
    </w:p>
  </w:endnote>
  <w:endnote w:type="continuationSeparator" w:id="0">
    <w:p w14:paraId="12FE0C63" w14:textId="77777777" w:rsidR="00F6209B" w:rsidRDefault="00F6209B" w:rsidP="00F00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AA240" w14:textId="77777777" w:rsidR="00F6209B" w:rsidRDefault="00F6209B" w:rsidP="00F007BC">
      <w:pPr>
        <w:spacing w:after="0" w:line="240" w:lineRule="auto"/>
      </w:pPr>
      <w:r>
        <w:separator/>
      </w:r>
    </w:p>
  </w:footnote>
  <w:footnote w:type="continuationSeparator" w:id="0">
    <w:p w14:paraId="49A61D69" w14:textId="77777777" w:rsidR="00F6209B" w:rsidRDefault="00F6209B" w:rsidP="00F007BC">
      <w:pPr>
        <w:spacing w:after="0" w:line="240" w:lineRule="auto"/>
      </w:pPr>
      <w:r>
        <w:continuationSeparator/>
      </w:r>
    </w:p>
  </w:footnote>
  <w:footnote w:id="1">
    <w:p w14:paraId="1118A5B7" w14:textId="77777777" w:rsidR="00FC7C28" w:rsidRPr="00AE37CA" w:rsidRDefault="00FC7C28" w:rsidP="008668AF">
      <w:pPr>
        <w:pStyle w:val="Testonotaapidipagina"/>
        <w:spacing w:after="0" w:line="240" w:lineRule="auto"/>
        <w:rPr>
          <w:rFonts w:asciiTheme="minorHAnsi" w:hAnsiTheme="minorHAnsi"/>
          <w:lang w:val="en-US"/>
        </w:rPr>
      </w:pPr>
      <w:r w:rsidRPr="00AE37CA">
        <w:rPr>
          <w:rStyle w:val="Rimandonotaapidipagina"/>
          <w:rFonts w:asciiTheme="minorHAnsi" w:hAnsiTheme="minorHAnsi"/>
        </w:rPr>
        <w:footnoteRef/>
      </w:r>
      <w:r w:rsidRPr="00AE37CA">
        <w:rPr>
          <w:rFonts w:asciiTheme="minorHAnsi" w:hAnsiTheme="minorHAnsi"/>
          <w:lang w:val="en-US"/>
        </w:rPr>
        <w:t xml:space="preserve"> </w:t>
      </w:r>
      <w:r w:rsidRPr="00AE37CA">
        <w:rPr>
          <w:rFonts w:asciiTheme="minorHAnsi" w:hAnsiTheme="minorHAnsi"/>
          <w:i/>
          <w:lang w:val="en-GB" w:eastAsia="it-IT"/>
        </w:rPr>
        <w:t>K. Hansen et al. (2009) J. Chem. Inf. Model. 49 (9), pp 2077- 2081.</w:t>
      </w:r>
    </w:p>
  </w:footnote>
  <w:footnote w:id="2">
    <w:p w14:paraId="799A17C6" w14:textId="77777777" w:rsidR="00FC7C28" w:rsidRPr="00AE37CA" w:rsidRDefault="00FC7C28" w:rsidP="008668AF">
      <w:pPr>
        <w:pStyle w:val="Testonotaapidipagina"/>
        <w:spacing w:after="0" w:line="240" w:lineRule="auto"/>
        <w:rPr>
          <w:rFonts w:asciiTheme="minorHAnsi" w:hAnsiTheme="minorHAnsi"/>
          <w:lang w:val="en-US"/>
        </w:rPr>
      </w:pPr>
      <w:r w:rsidRPr="00AE37CA">
        <w:rPr>
          <w:rStyle w:val="Rimandonotaapidipagina"/>
          <w:rFonts w:asciiTheme="minorHAnsi" w:hAnsiTheme="minorHAnsi"/>
        </w:rPr>
        <w:footnoteRef/>
      </w:r>
      <w:r w:rsidRPr="00AE37CA">
        <w:rPr>
          <w:rFonts w:asciiTheme="minorHAnsi" w:hAnsiTheme="minorHAnsi"/>
          <w:lang w:val="en-US"/>
        </w:rPr>
        <w:t xml:space="preserve"> </w:t>
      </w:r>
      <w:r w:rsidRPr="00AE37CA">
        <w:rPr>
          <w:rFonts w:asciiTheme="minorHAnsi" w:hAnsiTheme="minorHAnsi"/>
          <w:i/>
          <w:lang w:val="en-GB" w:eastAsia="it-IT"/>
        </w:rPr>
        <w:t>D. Kirkland, M. Aardemab, L. Henderson and L. Mueller (2005).</w:t>
      </w:r>
    </w:p>
  </w:footnote>
  <w:footnote w:id="3">
    <w:p w14:paraId="278EECE9" w14:textId="77777777" w:rsidR="00FC7C28" w:rsidRPr="00B93485" w:rsidRDefault="00FC7C28" w:rsidP="008668AF">
      <w:pPr>
        <w:pStyle w:val="Testonotaapidipagina"/>
        <w:spacing w:after="0"/>
        <w:rPr>
          <w:rFonts w:ascii="Times New Roman" w:hAnsi="Times New Roman"/>
          <w:lang w:val="en-US"/>
        </w:rPr>
      </w:pPr>
      <w:r w:rsidRPr="00AE37CA">
        <w:rPr>
          <w:rStyle w:val="Rimandonotaapidipagina"/>
          <w:rFonts w:asciiTheme="minorHAnsi" w:hAnsiTheme="minorHAnsi"/>
        </w:rPr>
        <w:footnoteRef/>
      </w:r>
      <w:r w:rsidRPr="00AE37CA">
        <w:rPr>
          <w:rFonts w:asciiTheme="minorHAnsi" w:hAnsiTheme="minorHAnsi"/>
          <w:lang w:val="en-US"/>
        </w:rPr>
        <w:t xml:space="preserve"> </w:t>
      </w:r>
      <w:r w:rsidRPr="00AE37CA">
        <w:rPr>
          <w:rFonts w:asciiTheme="minorHAnsi" w:hAnsiTheme="minorHAnsi"/>
          <w:i/>
          <w:lang w:val="en-GB" w:eastAsia="it-IT"/>
        </w:rPr>
        <w:t>http://monographs.iarc.fr/index.php.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278A2"/>
    <w:multiLevelType w:val="hybridMultilevel"/>
    <w:tmpl w:val="531EF754"/>
    <w:lvl w:ilvl="0" w:tplc="F936116A">
      <w:start w:val="1"/>
      <w:numFmt w:val="bullet"/>
      <w:lvlText w:val="-"/>
      <w:lvlJc w:val="left"/>
      <w:pPr>
        <w:tabs>
          <w:tab w:val="num" w:pos="720"/>
        </w:tabs>
        <w:ind w:left="720" w:hanging="360"/>
      </w:pPr>
      <w:rPr>
        <w:rFonts w:ascii="Times New Roman" w:hAnsi="Times New Roman" w:hint="default"/>
      </w:rPr>
    </w:lvl>
    <w:lvl w:ilvl="1" w:tplc="9208BB5C" w:tentative="1">
      <w:start w:val="1"/>
      <w:numFmt w:val="bullet"/>
      <w:lvlText w:val="-"/>
      <w:lvlJc w:val="left"/>
      <w:pPr>
        <w:tabs>
          <w:tab w:val="num" w:pos="1440"/>
        </w:tabs>
        <w:ind w:left="1440" w:hanging="360"/>
      </w:pPr>
      <w:rPr>
        <w:rFonts w:ascii="Times New Roman" w:hAnsi="Times New Roman" w:hint="default"/>
      </w:rPr>
    </w:lvl>
    <w:lvl w:ilvl="2" w:tplc="2BD293AE" w:tentative="1">
      <w:start w:val="1"/>
      <w:numFmt w:val="bullet"/>
      <w:lvlText w:val="-"/>
      <w:lvlJc w:val="left"/>
      <w:pPr>
        <w:tabs>
          <w:tab w:val="num" w:pos="2160"/>
        </w:tabs>
        <w:ind w:left="2160" w:hanging="360"/>
      </w:pPr>
      <w:rPr>
        <w:rFonts w:ascii="Times New Roman" w:hAnsi="Times New Roman" w:hint="default"/>
      </w:rPr>
    </w:lvl>
    <w:lvl w:ilvl="3" w:tplc="066A81C2" w:tentative="1">
      <w:start w:val="1"/>
      <w:numFmt w:val="bullet"/>
      <w:lvlText w:val="-"/>
      <w:lvlJc w:val="left"/>
      <w:pPr>
        <w:tabs>
          <w:tab w:val="num" w:pos="2880"/>
        </w:tabs>
        <w:ind w:left="2880" w:hanging="360"/>
      </w:pPr>
      <w:rPr>
        <w:rFonts w:ascii="Times New Roman" w:hAnsi="Times New Roman" w:hint="default"/>
      </w:rPr>
    </w:lvl>
    <w:lvl w:ilvl="4" w:tplc="79089F36" w:tentative="1">
      <w:start w:val="1"/>
      <w:numFmt w:val="bullet"/>
      <w:lvlText w:val="-"/>
      <w:lvlJc w:val="left"/>
      <w:pPr>
        <w:tabs>
          <w:tab w:val="num" w:pos="3600"/>
        </w:tabs>
        <w:ind w:left="3600" w:hanging="360"/>
      </w:pPr>
      <w:rPr>
        <w:rFonts w:ascii="Times New Roman" w:hAnsi="Times New Roman" w:hint="default"/>
      </w:rPr>
    </w:lvl>
    <w:lvl w:ilvl="5" w:tplc="56101EA6" w:tentative="1">
      <w:start w:val="1"/>
      <w:numFmt w:val="bullet"/>
      <w:lvlText w:val="-"/>
      <w:lvlJc w:val="left"/>
      <w:pPr>
        <w:tabs>
          <w:tab w:val="num" w:pos="4320"/>
        </w:tabs>
        <w:ind w:left="4320" w:hanging="360"/>
      </w:pPr>
      <w:rPr>
        <w:rFonts w:ascii="Times New Roman" w:hAnsi="Times New Roman" w:hint="default"/>
      </w:rPr>
    </w:lvl>
    <w:lvl w:ilvl="6" w:tplc="367EEF5A" w:tentative="1">
      <w:start w:val="1"/>
      <w:numFmt w:val="bullet"/>
      <w:lvlText w:val="-"/>
      <w:lvlJc w:val="left"/>
      <w:pPr>
        <w:tabs>
          <w:tab w:val="num" w:pos="5040"/>
        </w:tabs>
        <w:ind w:left="5040" w:hanging="360"/>
      </w:pPr>
      <w:rPr>
        <w:rFonts w:ascii="Times New Roman" w:hAnsi="Times New Roman" w:hint="default"/>
      </w:rPr>
    </w:lvl>
    <w:lvl w:ilvl="7" w:tplc="1910E2F6" w:tentative="1">
      <w:start w:val="1"/>
      <w:numFmt w:val="bullet"/>
      <w:lvlText w:val="-"/>
      <w:lvlJc w:val="left"/>
      <w:pPr>
        <w:tabs>
          <w:tab w:val="num" w:pos="5760"/>
        </w:tabs>
        <w:ind w:left="5760" w:hanging="360"/>
      </w:pPr>
      <w:rPr>
        <w:rFonts w:ascii="Times New Roman" w:hAnsi="Times New Roman" w:hint="default"/>
      </w:rPr>
    </w:lvl>
    <w:lvl w:ilvl="8" w:tplc="A84611C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FF01553"/>
    <w:multiLevelType w:val="hybridMultilevel"/>
    <w:tmpl w:val="7F4290B4"/>
    <w:lvl w:ilvl="0" w:tplc="CAD03F86">
      <w:start w:val="1"/>
      <w:numFmt w:val="bullet"/>
      <w:lvlText w:val="-"/>
      <w:lvlJc w:val="left"/>
      <w:pPr>
        <w:tabs>
          <w:tab w:val="num" w:pos="720"/>
        </w:tabs>
        <w:ind w:left="720" w:hanging="360"/>
      </w:pPr>
      <w:rPr>
        <w:rFonts w:ascii="Times New Roman" w:hAnsi="Times New Roman" w:hint="default"/>
      </w:rPr>
    </w:lvl>
    <w:lvl w:ilvl="1" w:tplc="7158A5F2" w:tentative="1">
      <w:start w:val="1"/>
      <w:numFmt w:val="bullet"/>
      <w:lvlText w:val="-"/>
      <w:lvlJc w:val="left"/>
      <w:pPr>
        <w:tabs>
          <w:tab w:val="num" w:pos="1440"/>
        </w:tabs>
        <w:ind w:left="1440" w:hanging="360"/>
      </w:pPr>
      <w:rPr>
        <w:rFonts w:ascii="Times New Roman" w:hAnsi="Times New Roman" w:hint="default"/>
      </w:rPr>
    </w:lvl>
    <w:lvl w:ilvl="2" w:tplc="C5FCE1B6">
      <w:start w:val="2442"/>
      <w:numFmt w:val="bullet"/>
      <w:lvlText w:val="-"/>
      <w:lvlJc w:val="left"/>
      <w:pPr>
        <w:tabs>
          <w:tab w:val="num" w:pos="2160"/>
        </w:tabs>
        <w:ind w:left="2160" w:hanging="360"/>
      </w:pPr>
      <w:rPr>
        <w:rFonts w:ascii="Times New Roman" w:hAnsi="Times New Roman" w:hint="default"/>
      </w:rPr>
    </w:lvl>
    <w:lvl w:ilvl="3" w:tplc="88FCC76A" w:tentative="1">
      <w:start w:val="1"/>
      <w:numFmt w:val="bullet"/>
      <w:lvlText w:val="-"/>
      <w:lvlJc w:val="left"/>
      <w:pPr>
        <w:tabs>
          <w:tab w:val="num" w:pos="2880"/>
        </w:tabs>
        <w:ind w:left="2880" w:hanging="360"/>
      </w:pPr>
      <w:rPr>
        <w:rFonts w:ascii="Times New Roman" w:hAnsi="Times New Roman" w:hint="default"/>
      </w:rPr>
    </w:lvl>
    <w:lvl w:ilvl="4" w:tplc="D9820492" w:tentative="1">
      <w:start w:val="1"/>
      <w:numFmt w:val="bullet"/>
      <w:lvlText w:val="-"/>
      <w:lvlJc w:val="left"/>
      <w:pPr>
        <w:tabs>
          <w:tab w:val="num" w:pos="3600"/>
        </w:tabs>
        <w:ind w:left="3600" w:hanging="360"/>
      </w:pPr>
      <w:rPr>
        <w:rFonts w:ascii="Times New Roman" w:hAnsi="Times New Roman" w:hint="default"/>
      </w:rPr>
    </w:lvl>
    <w:lvl w:ilvl="5" w:tplc="D062BE5C" w:tentative="1">
      <w:start w:val="1"/>
      <w:numFmt w:val="bullet"/>
      <w:lvlText w:val="-"/>
      <w:lvlJc w:val="left"/>
      <w:pPr>
        <w:tabs>
          <w:tab w:val="num" w:pos="4320"/>
        </w:tabs>
        <w:ind w:left="4320" w:hanging="360"/>
      </w:pPr>
      <w:rPr>
        <w:rFonts w:ascii="Times New Roman" w:hAnsi="Times New Roman" w:hint="default"/>
      </w:rPr>
    </w:lvl>
    <w:lvl w:ilvl="6" w:tplc="6406CBFC" w:tentative="1">
      <w:start w:val="1"/>
      <w:numFmt w:val="bullet"/>
      <w:lvlText w:val="-"/>
      <w:lvlJc w:val="left"/>
      <w:pPr>
        <w:tabs>
          <w:tab w:val="num" w:pos="5040"/>
        </w:tabs>
        <w:ind w:left="5040" w:hanging="360"/>
      </w:pPr>
      <w:rPr>
        <w:rFonts w:ascii="Times New Roman" w:hAnsi="Times New Roman" w:hint="default"/>
      </w:rPr>
    </w:lvl>
    <w:lvl w:ilvl="7" w:tplc="0818D11A" w:tentative="1">
      <w:start w:val="1"/>
      <w:numFmt w:val="bullet"/>
      <w:lvlText w:val="-"/>
      <w:lvlJc w:val="left"/>
      <w:pPr>
        <w:tabs>
          <w:tab w:val="num" w:pos="5760"/>
        </w:tabs>
        <w:ind w:left="5760" w:hanging="360"/>
      </w:pPr>
      <w:rPr>
        <w:rFonts w:ascii="Times New Roman" w:hAnsi="Times New Roman" w:hint="default"/>
      </w:rPr>
    </w:lvl>
    <w:lvl w:ilvl="8" w:tplc="6874BCD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A4C6274"/>
    <w:multiLevelType w:val="hybridMultilevel"/>
    <w:tmpl w:val="8690DBA8"/>
    <w:lvl w:ilvl="0" w:tplc="3AB80DB0">
      <w:start w:val="1"/>
      <w:numFmt w:val="bullet"/>
      <w:lvlText w:val="-"/>
      <w:lvlJc w:val="left"/>
      <w:pPr>
        <w:tabs>
          <w:tab w:val="num" w:pos="720"/>
        </w:tabs>
        <w:ind w:left="720" w:hanging="360"/>
      </w:pPr>
      <w:rPr>
        <w:rFonts w:ascii="Times New Roman" w:hAnsi="Times New Roman" w:hint="default"/>
      </w:rPr>
    </w:lvl>
    <w:lvl w:ilvl="1" w:tplc="921E1FFE" w:tentative="1">
      <w:start w:val="1"/>
      <w:numFmt w:val="bullet"/>
      <w:lvlText w:val="-"/>
      <w:lvlJc w:val="left"/>
      <w:pPr>
        <w:tabs>
          <w:tab w:val="num" w:pos="1440"/>
        </w:tabs>
        <w:ind w:left="1440" w:hanging="360"/>
      </w:pPr>
      <w:rPr>
        <w:rFonts w:ascii="Times New Roman" w:hAnsi="Times New Roman" w:hint="default"/>
      </w:rPr>
    </w:lvl>
    <w:lvl w:ilvl="2" w:tplc="95A8EC0C">
      <w:start w:val="2031"/>
      <w:numFmt w:val="bullet"/>
      <w:lvlText w:val="-"/>
      <w:lvlJc w:val="left"/>
      <w:pPr>
        <w:tabs>
          <w:tab w:val="num" w:pos="2160"/>
        </w:tabs>
        <w:ind w:left="2160" w:hanging="360"/>
      </w:pPr>
      <w:rPr>
        <w:rFonts w:ascii="Times New Roman" w:hAnsi="Times New Roman" w:hint="default"/>
      </w:rPr>
    </w:lvl>
    <w:lvl w:ilvl="3" w:tplc="4F1C5FF2" w:tentative="1">
      <w:start w:val="1"/>
      <w:numFmt w:val="bullet"/>
      <w:lvlText w:val="-"/>
      <w:lvlJc w:val="left"/>
      <w:pPr>
        <w:tabs>
          <w:tab w:val="num" w:pos="2880"/>
        </w:tabs>
        <w:ind w:left="2880" w:hanging="360"/>
      </w:pPr>
      <w:rPr>
        <w:rFonts w:ascii="Times New Roman" w:hAnsi="Times New Roman" w:hint="default"/>
      </w:rPr>
    </w:lvl>
    <w:lvl w:ilvl="4" w:tplc="415022D6" w:tentative="1">
      <w:start w:val="1"/>
      <w:numFmt w:val="bullet"/>
      <w:lvlText w:val="-"/>
      <w:lvlJc w:val="left"/>
      <w:pPr>
        <w:tabs>
          <w:tab w:val="num" w:pos="3600"/>
        </w:tabs>
        <w:ind w:left="3600" w:hanging="360"/>
      </w:pPr>
      <w:rPr>
        <w:rFonts w:ascii="Times New Roman" w:hAnsi="Times New Roman" w:hint="default"/>
      </w:rPr>
    </w:lvl>
    <w:lvl w:ilvl="5" w:tplc="B3426CEC" w:tentative="1">
      <w:start w:val="1"/>
      <w:numFmt w:val="bullet"/>
      <w:lvlText w:val="-"/>
      <w:lvlJc w:val="left"/>
      <w:pPr>
        <w:tabs>
          <w:tab w:val="num" w:pos="4320"/>
        </w:tabs>
        <w:ind w:left="4320" w:hanging="360"/>
      </w:pPr>
      <w:rPr>
        <w:rFonts w:ascii="Times New Roman" w:hAnsi="Times New Roman" w:hint="default"/>
      </w:rPr>
    </w:lvl>
    <w:lvl w:ilvl="6" w:tplc="F91C615C" w:tentative="1">
      <w:start w:val="1"/>
      <w:numFmt w:val="bullet"/>
      <w:lvlText w:val="-"/>
      <w:lvlJc w:val="left"/>
      <w:pPr>
        <w:tabs>
          <w:tab w:val="num" w:pos="5040"/>
        </w:tabs>
        <w:ind w:left="5040" w:hanging="360"/>
      </w:pPr>
      <w:rPr>
        <w:rFonts w:ascii="Times New Roman" w:hAnsi="Times New Roman" w:hint="default"/>
      </w:rPr>
    </w:lvl>
    <w:lvl w:ilvl="7" w:tplc="7C727F96" w:tentative="1">
      <w:start w:val="1"/>
      <w:numFmt w:val="bullet"/>
      <w:lvlText w:val="-"/>
      <w:lvlJc w:val="left"/>
      <w:pPr>
        <w:tabs>
          <w:tab w:val="num" w:pos="5760"/>
        </w:tabs>
        <w:ind w:left="5760" w:hanging="360"/>
      </w:pPr>
      <w:rPr>
        <w:rFonts w:ascii="Times New Roman" w:hAnsi="Times New Roman" w:hint="default"/>
      </w:rPr>
    </w:lvl>
    <w:lvl w:ilvl="8" w:tplc="162A9B0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2966F96"/>
    <w:multiLevelType w:val="hybridMultilevel"/>
    <w:tmpl w:val="30E88C34"/>
    <w:lvl w:ilvl="0" w:tplc="34D64316">
      <w:start w:val="1"/>
      <w:numFmt w:val="bullet"/>
      <w:lvlText w:val="-"/>
      <w:lvlJc w:val="left"/>
      <w:pPr>
        <w:tabs>
          <w:tab w:val="num" w:pos="720"/>
        </w:tabs>
        <w:ind w:left="720" w:hanging="360"/>
      </w:pPr>
      <w:rPr>
        <w:rFonts w:ascii="Times New Roman" w:hAnsi="Times New Roman" w:hint="default"/>
      </w:rPr>
    </w:lvl>
    <w:lvl w:ilvl="1" w:tplc="2F4AB36E" w:tentative="1">
      <w:start w:val="1"/>
      <w:numFmt w:val="bullet"/>
      <w:lvlText w:val="-"/>
      <w:lvlJc w:val="left"/>
      <w:pPr>
        <w:tabs>
          <w:tab w:val="num" w:pos="1440"/>
        </w:tabs>
        <w:ind w:left="1440" w:hanging="360"/>
      </w:pPr>
      <w:rPr>
        <w:rFonts w:ascii="Times New Roman" w:hAnsi="Times New Roman" w:hint="default"/>
      </w:rPr>
    </w:lvl>
    <w:lvl w:ilvl="2" w:tplc="EF18F1B4">
      <w:start w:val="2765"/>
      <w:numFmt w:val="bullet"/>
      <w:lvlText w:val="-"/>
      <w:lvlJc w:val="left"/>
      <w:pPr>
        <w:tabs>
          <w:tab w:val="num" w:pos="2160"/>
        </w:tabs>
        <w:ind w:left="2160" w:hanging="360"/>
      </w:pPr>
      <w:rPr>
        <w:rFonts w:ascii="Times New Roman" w:hAnsi="Times New Roman" w:hint="default"/>
      </w:rPr>
    </w:lvl>
    <w:lvl w:ilvl="3" w:tplc="2C48262A" w:tentative="1">
      <w:start w:val="1"/>
      <w:numFmt w:val="bullet"/>
      <w:lvlText w:val="-"/>
      <w:lvlJc w:val="left"/>
      <w:pPr>
        <w:tabs>
          <w:tab w:val="num" w:pos="2880"/>
        </w:tabs>
        <w:ind w:left="2880" w:hanging="360"/>
      </w:pPr>
      <w:rPr>
        <w:rFonts w:ascii="Times New Roman" w:hAnsi="Times New Roman" w:hint="default"/>
      </w:rPr>
    </w:lvl>
    <w:lvl w:ilvl="4" w:tplc="817CF494" w:tentative="1">
      <w:start w:val="1"/>
      <w:numFmt w:val="bullet"/>
      <w:lvlText w:val="-"/>
      <w:lvlJc w:val="left"/>
      <w:pPr>
        <w:tabs>
          <w:tab w:val="num" w:pos="3600"/>
        </w:tabs>
        <w:ind w:left="3600" w:hanging="360"/>
      </w:pPr>
      <w:rPr>
        <w:rFonts w:ascii="Times New Roman" w:hAnsi="Times New Roman" w:hint="default"/>
      </w:rPr>
    </w:lvl>
    <w:lvl w:ilvl="5" w:tplc="6A42C174" w:tentative="1">
      <w:start w:val="1"/>
      <w:numFmt w:val="bullet"/>
      <w:lvlText w:val="-"/>
      <w:lvlJc w:val="left"/>
      <w:pPr>
        <w:tabs>
          <w:tab w:val="num" w:pos="4320"/>
        </w:tabs>
        <w:ind w:left="4320" w:hanging="360"/>
      </w:pPr>
      <w:rPr>
        <w:rFonts w:ascii="Times New Roman" w:hAnsi="Times New Roman" w:hint="default"/>
      </w:rPr>
    </w:lvl>
    <w:lvl w:ilvl="6" w:tplc="38A0AE40" w:tentative="1">
      <w:start w:val="1"/>
      <w:numFmt w:val="bullet"/>
      <w:lvlText w:val="-"/>
      <w:lvlJc w:val="left"/>
      <w:pPr>
        <w:tabs>
          <w:tab w:val="num" w:pos="5040"/>
        </w:tabs>
        <w:ind w:left="5040" w:hanging="360"/>
      </w:pPr>
      <w:rPr>
        <w:rFonts w:ascii="Times New Roman" w:hAnsi="Times New Roman" w:hint="default"/>
      </w:rPr>
    </w:lvl>
    <w:lvl w:ilvl="7" w:tplc="688E78DA" w:tentative="1">
      <w:start w:val="1"/>
      <w:numFmt w:val="bullet"/>
      <w:lvlText w:val="-"/>
      <w:lvlJc w:val="left"/>
      <w:pPr>
        <w:tabs>
          <w:tab w:val="num" w:pos="5760"/>
        </w:tabs>
        <w:ind w:left="5760" w:hanging="360"/>
      </w:pPr>
      <w:rPr>
        <w:rFonts w:ascii="Times New Roman" w:hAnsi="Times New Roman" w:hint="default"/>
      </w:rPr>
    </w:lvl>
    <w:lvl w:ilvl="8" w:tplc="DC869D5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8C64218"/>
    <w:multiLevelType w:val="hybridMultilevel"/>
    <w:tmpl w:val="622A52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DF4ACB"/>
    <w:multiLevelType w:val="hybridMultilevel"/>
    <w:tmpl w:val="410CE28E"/>
    <w:lvl w:ilvl="0" w:tplc="FBBE48B4">
      <w:start w:val="1"/>
      <w:numFmt w:val="bullet"/>
      <w:lvlText w:val="-"/>
      <w:lvlJc w:val="left"/>
      <w:pPr>
        <w:tabs>
          <w:tab w:val="num" w:pos="720"/>
        </w:tabs>
        <w:ind w:left="720" w:hanging="360"/>
      </w:pPr>
      <w:rPr>
        <w:rFonts w:ascii="Times New Roman" w:hAnsi="Times New Roman" w:hint="default"/>
      </w:rPr>
    </w:lvl>
    <w:lvl w:ilvl="1" w:tplc="75AE362A">
      <w:start w:val="1350"/>
      <w:numFmt w:val="bullet"/>
      <w:lvlText w:val="-"/>
      <w:lvlJc w:val="left"/>
      <w:pPr>
        <w:tabs>
          <w:tab w:val="num" w:pos="1440"/>
        </w:tabs>
        <w:ind w:left="1440" w:hanging="360"/>
      </w:pPr>
      <w:rPr>
        <w:rFonts w:ascii="Times New Roman" w:hAnsi="Times New Roman" w:hint="default"/>
      </w:rPr>
    </w:lvl>
    <w:lvl w:ilvl="2" w:tplc="6786159C" w:tentative="1">
      <w:start w:val="1"/>
      <w:numFmt w:val="bullet"/>
      <w:lvlText w:val="-"/>
      <w:lvlJc w:val="left"/>
      <w:pPr>
        <w:tabs>
          <w:tab w:val="num" w:pos="2160"/>
        </w:tabs>
        <w:ind w:left="2160" w:hanging="360"/>
      </w:pPr>
      <w:rPr>
        <w:rFonts w:ascii="Times New Roman" w:hAnsi="Times New Roman" w:hint="default"/>
      </w:rPr>
    </w:lvl>
    <w:lvl w:ilvl="3" w:tplc="463A8384" w:tentative="1">
      <w:start w:val="1"/>
      <w:numFmt w:val="bullet"/>
      <w:lvlText w:val="-"/>
      <w:lvlJc w:val="left"/>
      <w:pPr>
        <w:tabs>
          <w:tab w:val="num" w:pos="2880"/>
        </w:tabs>
        <w:ind w:left="2880" w:hanging="360"/>
      </w:pPr>
      <w:rPr>
        <w:rFonts w:ascii="Times New Roman" w:hAnsi="Times New Roman" w:hint="default"/>
      </w:rPr>
    </w:lvl>
    <w:lvl w:ilvl="4" w:tplc="E026B6B4" w:tentative="1">
      <w:start w:val="1"/>
      <w:numFmt w:val="bullet"/>
      <w:lvlText w:val="-"/>
      <w:lvlJc w:val="left"/>
      <w:pPr>
        <w:tabs>
          <w:tab w:val="num" w:pos="3600"/>
        </w:tabs>
        <w:ind w:left="3600" w:hanging="360"/>
      </w:pPr>
      <w:rPr>
        <w:rFonts w:ascii="Times New Roman" w:hAnsi="Times New Roman" w:hint="default"/>
      </w:rPr>
    </w:lvl>
    <w:lvl w:ilvl="5" w:tplc="A2229CEA" w:tentative="1">
      <w:start w:val="1"/>
      <w:numFmt w:val="bullet"/>
      <w:lvlText w:val="-"/>
      <w:lvlJc w:val="left"/>
      <w:pPr>
        <w:tabs>
          <w:tab w:val="num" w:pos="4320"/>
        </w:tabs>
        <w:ind w:left="4320" w:hanging="360"/>
      </w:pPr>
      <w:rPr>
        <w:rFonts w:ascii="Times New Roman" w:hAnsi="Times New Roman" w:hint="default"/>
      </w:rPr>
    </w:lvl>
    <w:lvl w:ilvl="6" w:tplc="6AC22194" w:tentative="1">
      <w:start w:val="1"/>
      <w:numFmt w:val="bullet"/>
      <w:lvlText w:val="-"/>
      <w:lvlJc w:val="left"/>
      <w:pPr>
        <w:tabs>
          <w:tab w:val="num" w:pos="5040"/>
        </w:tabs>
        <w:ind w:left="5040" w:hanging="360"/>
      </w:pPr>
      <w:rPr>
        <w:rFonts w:ascii="Times New Roman" w:hAnsi="Times New Roman" w:hint="default"/>
      </w:rPr>
    </w:lvl>
    <w:lvl w:ilvl="7" w:tplc="9D46050A" w:tentative="1">
      <w:start w:val="1"/>
      <w:numFmt w:val="bullet"/>
      <w:lvlText w:val="-"/>
      <w:lvlJc w:val="left"/>
      <w:pPr>
        <w:tabs>
          <w:tab w:val="num" w:pos="5760"/>
        </w:tabs>
        <w:ind w:left="5760" w:hanging="360"/>
      </w:pPr>
      <w:rPr>
        <w:rFonts w:ascii="Times New Roman" w:hAnsi="Times New Roman" w:hint="default"/>
      </w:rPr>
    </w:lvl>
    <w:lvl w:ilvl="8" w:tplc="8D5435B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9946D55"/>
    <w:multiLevelType w:val="hybridMultilevel"/>
    <w:tmpl w:val="60DAE1F6"/>
    <w:lvl w:ilvl="0" w:tplc="3FAE8A42">
      <w:start w:val="1"/>
      <w:numFmt w:val="bullet"/>
      <w:lvlText w:val="-"/>
      <w:lvlJc w:val="left"/>
      <w:pPr>
        <w:tabs>
          <w:tab w:val="num" w:pos="720"/>
        </w:tabs>
        <w:ind w:left="720" w:hanging="360"/>
      </w:pPr>
      <w:rPr>
        <w:rFonts w:ascii="Times New Roman" w:hAnsi="Times New Roman" w:hint="default"/>
      </w:rPr>
    </w:lvl>
    <w:lvl w:ilvl="1" w:tplc="8F10C0F4">
      <w:start w:val="1018"/>
      <w:numFmt w:val="bullet"/>
      <w:lvlText w:val="-"/>
      <w:lvlJc w:val="left"/>
      <w:pPr>
        <w:tabs>
          <w:tab w:val="num" w:pos="1440"/>
        </w:tabs>
        <w:ind w:left="1440" w:hanging="360"/>
      </w:pPr>
      <w:rPr>
        <w:rFonts w:ascii="Times New Roman" w:hAnsi="Times New Roman" w:hint="default"/>
      </w:rPr>
    </w:lvl>
    <w:lvl w:ilvl="2" w:tplc="00B6ABB6" w:tentative="1">
      <w:start w:val="1"/>
      <w:numFmt w:val="bullet"/>
      <w:lvlText w:val="-"/>
      <w:lvlJc w:val="left"/>
      <w:pPr>
        <w:tabs>
          <w:tab w:val="num" w:pos="2160"/>
        </w:tabs>
        <w:ind w:left="2160" w:hanging="360"/>
      </w:pPr>
      <w:rPr>
        <w:rFonts w:ascii="Times New Roman" w:hAnsi="Times New Roman" w:hint="default"/>
      </w:rPr>
    </w:lvl>
    <w:lvl w:ilvl="3" w:tplc="CF6C1412" w:tentative="1">
      <w:start w:val="1"/>
      <w:numFmt w:val="bullet"/>
      <w:lvlText w:val="-"/>
      <w:lvlJc w:val="left"/>
      <w:pPr>
        <w:tabs>
          <w:tab w:val="num" w:pos="2880"/>
        </w:tabs>
        <w:ind w:left="2880" w:hanging="360"/>
      </w:pPr>
      <w:rPr>
        <w:rFonts w:ascii="Times New Roman" w:hAnsi="Times New Roman" w:hint="default"/>
      </w:rPr>
    </w:lvl>
    <w:lvl w:ilvl="4" w:tplc="7270B3E2" w:tentative="1">
      <w:start w:val="1"/>
      <w:numFmt w:val="bullet"/>
      <w:lvlText w:val="-"/>
      <w:lvlJc w:val="left"/>
      <w:pPr>
        <w:tabs>
          <w:tab w:val="num" w:pos="3600"/>
        </w:tabs>
        <w:ind w:left="3600" w:hanging="360"/>
      </w:pPr>
      <w:rPr>
        <w:rFonts w:ascii="Times New Roman" w:hAnsi="Times New Roman" w:hint="default"/>
      </w:rPr>
    </w:lvl>
    <w:lvl w:ilvl="5" w:tplc="553A1800" w:tentative="1">
      <w:start w:val="1"/>
      <w:numFmt w:val="bullet"/>
      <w:lvlText w:val="-"/>
      <w:lvlJc w:val="left"/>
      <w:pPr>
        <w:tabs>
          <w:tab w:val="num" w:pos="4320"/>
        </w:tabs>
        <w:ind w:left="4320" w:hanging="360"/>
      </w:pPr>
      <w:rPr>
        <w:rFonts w:ascii="Times New Roman" w:hAnsi="Times New Roman" w:hint="default"/>
      </w:rPr>
    </w:lvl>
    <w:lvl w:ilvl="6" w:tplc="12883A4C" w:tentative="1">
      <w:start w:val="1"/>
      <w:numFmt w:val="bullet"/>
      <w:lvlText w:val="-"/>
      <w:lvlJc w:val="left"/>
      <w:pPr>
        <w:tabs>
          <w:tab w:val="num" w:pos="5040"/>
        </w:tabs>
        <w:ind w:left="5040" w:hanging="360"/>
      </w:pPr>
      <w:rPr>
        <w:rFonts w:ascii="Times New Roman" w:hAnsi="Times New Roman" w:hint="default"/>
      </w:rPr>
    </w:lvl>
    <w:lvl w:ilvl="7" w:tplc="012C59AA" w:tentative="1">
      <w:start w:val="1"/>
      <w:numFmt w:val="bullet"/>
      <w:lvlText w:val="-"/>
      <w:lvlJc w:val="left"/>
      <w:pPr>
        <w:tabs>
          <w:tab w:val="num" w:pos="5760"/>
        </w:tabs>
        <w:ind w:left="5760" w:hanging="360"/>
      </w:pPr>
      <w:rPr>
        <w:rFonts w:ascii="Times New Roman" w:hAnsi="Times New Roman" w:hint="default"/>
      </w:rPr>
    </w:lvl>
    <w:lvl w:ilvl="8" w:tplc="53AA0D0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7F3C6DD8"/>
    <w:multiLevelType w:val="hybridMultilevel"/>
    <w:tmpl w:val="814EF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1"/>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579"/>
    <w:rsid w:val="00015EB8"/>
    <w:rsid w:val="00043CF2"/>
    <w:rsid w:val="000440B9"/>
    <w:rsid w:val="0005127A"/>
    <w:rsid w:val="00097148"/>
    <w:rsid w:val="000F7379"/>
    <w:rsid w:val="0010007E"/>
    <w:rsid w:val="0017735C"/>
    <w:rsid w:val="0019213A"/>
    <w:rsid w:val="001B0804"/>
    <w:rsid w:val="001C4C44"/>
    <w:rsid w:val="00223497"/>
    <w:rsid w:val="002540F3"/>
    <w:rsid w:val="00283FEB"/>
    <w:rsid w:val="002867DC"/>
    <w:rsid w:val="00290A84"/>
    <w:rsid w:val="00296CCD"/>
    <w:rsid w:val="002B7C7C"/>
    <w:rsid w:val="002F6254"/>
    <w:rsid w:val="00314D98"/>
    <w:rsid w:val="00375C6C"/>
    <w:rsid w:val="00385F44"/>
    <w:rsid w:val="00396777"/>
    <w:rsid w:val="0040606F"/>
    <w:rsid w:val="00430BB0"/>
    <w:rsid w:val="004D016A"/>
    <w:rsid w:val="004D4AFD"/>
    <w:rsid w:val="004D7B90"/>
    <w:rsid w:val="00505E04"/>
    <w:rsid w:val="005357C9"/>
    <w:rsid w:val="00535BCD"/>
    <w:rsid w:val="00565572"/>
    <w:rsid w:val="00570E14"/>
    <w:rsid w:val="00596F14"/>
    <w:rsid w:val="005C0E4C"/>
    <w:rsid w:val="005C3CAC"/>
    <w:rsid w:val="00605BD0"/>
    <w:rsid w:val="006744EF"/>
    <w:rsid w:val="006771E2"/>
    <w:rsid w:val="00692326"/>
    <w:rsid w:val="00694789"/>
    <w:rsid w:val="006C5CA1"/>
    <w:rsid w:val="006E3B7C"/>
    <w:rsid w:val="006E4094"/>
    <w:rsid w:val="007177AD"/>
    <w:rsid w:val="007247D6"/>
    <w:rsid w:val="007433F2"/>
    <w:rsid w:val="00785913"/>
    <w:rsid w:val="00787431"/>
    <w:rsid w:val="00794C45"/>
    <w:rsid w:val="007A0382"/>
    <w:rsid w:val="007C7619"/>
    <w:rsid w:val="007D4579"/>
    <w:rsid w:val="00807DA3"/>
    <w:rsid w:val="00820B6E"/>
    <w:rsid w:val="0086027E"/>
    <w:rsid w:val="008668AF"/>
    <w:rsid w:val="008A333D"/>
    <w:rsid w:val="008F6468"/>
    <w:rsid w:val="00907949"/>
    <w:rsid w:val="00936244"/>
    <w:rsid w:val="00961BFA"/>
    <w:rsid w:val="00966B0C"/>
    <w:rsid w:val="00993B9D"/>
    <w:rsid w:val="009A02C7"/>
    <w:rsid w:val="009D1E0E"/>
    <w:rsid w:val="009E5C64"/>
    <w:rsid w:val="00A00BFF"/>
    <w:rsid w:val="00A14A86"/>
    <w:rsid w:val="00A16204"/>
    <w:rsid w:val="00A21558"/>
    <w:rsid w:val="00A47980"/>
    <w:rsid w:val="00A5017B"/>
    <w:rsid w:val="00A70A67"/>
    <w:rsid w:val="00A76E85"/>
    <w:rsid w:val="00A8504E"/>
    <w:rsid w:val="00AB50BD"/>
    <w:rsid w:val="00AB7D6E"/>
    <w:rsid w:val="00AD0C7A"/>
    <w:rsid w:val="00AE37CA"/>
    <w:rsid w:val="00AF3F36"/>
    <w:rsid w:val="00AF6D4B"/>
    <w:rsid w:val="00B00CD4"/>
    <w:rsid w:val="00B01A2B"/>
    <w:rsid w:val="00B50DBE"/>
    <w:rsid w:val="00B65920"/>
    <w:rsid w:val="00B723F9"/>
    <w:rsid w:val="00BB0A4C"/>
    <w:rsid w:val="00BC63AD"/>
    <w:rsid w:val="00BD29B6"/>
    <w:rsid w:val="00C03C56"/>
    <w:rsid w:val="00C1424E"/>
    <w:rsid w:val="00CA2F6F"/>
    <w:rsid w:val="00CA627E"/>
    <w:rsid w:val="00CE6927"/>
    <w:rsid w:val="00CF30EF"/>
    <w:rsid w:val="00CF688A"/>
    <w:rsid w:val="00D166ED"/>
    <w:rsid w:val="00D21C64"/>
    <w:rsid w:val="00D76881"/>
    <w:rsid w:val="00DA5F81"/>
    <w:rsid w:val="00DB671E"/>
    <w:rsid w:val="00DF0D8B"/>
    <w:rsid w:val="00E043AC"/>
    <w:rsid w:val="00E17811"/>
    <w:rsid w:val="00E209EB"/>
    <w:rsid w:val="00E22C85"/>
    <w:rsid w:val="00E27422"/>
    <w:rsid w:val="00E5748E"/>
    <w:rsid w:val="00F007BC"/>
    <w:rsid w:val="00F029FC"/>
    <w:rsid w:val="00F07BDC"/>
    <w:rsid w:val="00F3302D"/>
    <w:rsid w:val="00F42B8C"/>
    <w:rsid w:val="00F4673B"/>
    <w:rsid w:val="00F54C59"/>
    <w:rsid w:val="00F6209B"/>
    <w:rsid w:val="00FB7028"/>
    <w:rsid w:val="00FC7C28"/>
    <w:rsid w:val="00FD4260"/>
    <w:rsid w:val="00FD74AA"/>
    <w:rsid w:val="00FE4B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9125E"/>
  <w15:docId w15:val="{C097488F-4765-4080-A931-3A4AB8A10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CF30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CE69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F30EF"/>
    <w:rPr>
      <w:rFonts w:asciiTheme="majorHAnsi" w:eastAsiaTheme="majorEastAsia" w:hAnsiTheme="majorHAnsi" w:cstheme="majorBidi"/>
      <w:b/>
      <w:bCs/>
      <w:color w:val="365F91" w:themeColor="accent1" w:themeShade="BF"/>
      <w:sz w:val="28"/>
      <w:szCs w:val="28"/>
    </w:rPr>
  </w:style>
  <w:style w:type="character" w:styleId="Collegamentoipertestuale">
    <w:name w:val="Hyperlink"/>
    <w:basedOn w:val="Carpredefinitoparagrafo"/>
    <w:uiPriority w:val="99"/>
    <w:unhideWhenUsed/>
    <w:rsid w:val="00F007BC"/>
    <w:rPr>
      <w:color w:val="0000FF" w:themeColor="hyperlink"/>
      <w:u w:val="single"/>
    </w:rPr>
  </w:style>
  <w:style w:type="paragraph" w:styleId="Paragrafoelenco">
    <w:name w:val="List Paragraph"/>
    <w:basedOn w:val="Normale"/>
    <w:uiPriority w:val="34"/>
    <w:qFormat/>
    <w:rsid w:val="00F007BC"/>
    <w:pPr>
      <w:ind w:left="720"/>
      <w:contextualSpacing/>
    </w:pPr>
    <w:rPr>
      <w:rFonts w:ascii="Calibri" w:eastAsia="Calibri" w:hAnsi="Calibri" w:cs="Times New Roman"/>
    </w:rPr>
  </w:style>
  <w:style w:type="paragraph" w:styleId="Testonotaapidipagina">
    <w:name w:val="footnote text"/>
    <w:basedOn w:val="Normale"/>
    <w:link w:val="TestonotaapidipaginaCarattere"/>
    <w:uiPriority w:val="99"/>
    <w:semiHidden/>
    <w:unhideWhenUsed/>
    <w:rsid w:val="00F007BC"/>
    <w:pPr>
      <w:ind w:left="221"/>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F007BC"/>
    <w:rPr>
      <w:rFonts w:ascii="Calibri" w:eastAsia="Calibri" w:hAnsi="Calibri" w:cs="Times New Roman"/>
      <w:sz w:val="20"/>
      <w:szCs w:val="20"/>
    </w:rPr>
  </w:style>
  <w:style w:type="character" w:styleId="Rimandonotaapidipagina">
    <w:name w:val="footnote reference"/>
    <w:uiPriority w:val="99"/>
    <w:semiHidden/>
    <w:unhideWhenUsed/>
    <w:rsid w:val="00F007BC"/>
    <w:rPr>
      <w:vertAlign w:val="superscript"/>
    </w:rPr>
  </w:style>
  <w:style w:type="table" w:styleId="Grigliatabella">
    <w:name w:val="Table Grid"/>
    <w:basedOn w:val="Tabellanormale"/>
    <w:uiPriority w:val="39"/>
    <w:rsid w:val="00866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
    <w:name w:val="Light Shading"/>
    <w:basedOn w:val="Tabellanormale"/>
    <w:uiPriority w:val="60"/>
    <w:rsid w:val="008668A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itolo2Carattere">
    <w:name w:val="Titolo 2 Carattere"/>
    <w:basedOn w:val="Carpredefinitoparagrafo"/>
    <w:link w:val="Titolo2"/>
    <w:uiPriority w:val="9"/>
    <w:rsid w:val="00CE6927"/>
    <w:rPr>
      <w:rFonts w:asciiTheme="majorHAnsi" w:eastAsiaTheme="majorEastAsia" w:hAnsiTheme="majorHAnsi" w:cstheme="majorBidi"/>
      <w:b/>
      <w:bCs/>
      <w:color w:val="4F81BD" w:themeColor="accent1"/>
      <w:sz w:val="26"/>
      <w:szCs w:val="26"/>
    </w:rPr>
  </w:style>
  <w:style w:type="character" w:styleId="Rimandocommento">
    <w:name w:val="annotation reference"/>
    <w:basedOn w:val="Carpredefinitoparagrafo"/>
    <w:uiPriority w:val="99"/>
    <w:semiHidden/>
    <w:unhideWhenUsed/>
    <w:rsid w:val="00AF3F36"/>
    <w:rPr>
      <w:sz w:val="16"/>
      <w:szCs w:val="16"/>
    </w:rPr>
  </w:style>
  <w:style w:type="paragraph" w:styleId="Testocommento">
    <w:name w:val="annotation text"/>
    <w:basedOn w:val="Normale"/>
    <w:link w:val="TestocommentoCarattere"/>
    <w:uiPriority w:val="99"/>
    <w:semiHidden/>
    <w:unhideWhenUsed/>
    <w:rsid w:val="00AF3F3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F3F36"/>
    <w:rPr>
      <w:sz w:val="20"/>
      <w:szCs w:val="20"/>
    </w:rPr>
  </w:style>
  <w:style w:type="paragraph" w:styleId="Soggettocommento">
    <w:name w:val="annotation subject"/>
    <w:basedOn w:val="Testocommento"/>
    <w:next w:val="Testocommento"/>
    <w:link w:val="SoggettocommentoCarattere"/>
    <w:uiPriority w:val="99"/>
    <w:semiHidden/>
    <w:unhideWhenUsed/>
    <w:rsid w:val="00AF3F36"/>
    <w:rPr>
      <w:b/>
      <w:bCs/>
    </w:rPr>
  </w:style>
  <w:style w:type="character" w:customStyle="1" w:styleId="SoggettocommentoCarattere">
    <w:name w:val="Soggetto commento Carattere"/>
    <w:basedOn w:val="TestocommentoCarattere"/>
    <w:link w:val="Soggettocommento"/>
    <w:uiPriority w:val="99"/>
    <w:semiHidden/>
    <w:rsid w:val="00AF3F36"/>
    <w:rPr>
      <w:b/>
      <w:bCs/>
      <w:sz w:val="20"/>
      <w:szCs w:val="20"/>
    </w:rPr>
  </w:style>
  <w:style w:type="paragraph" w:styleId="Testofumetto">
    <w:name w:val="Balloon Text"/>
    <w:basedOn w:val="Normale"/>
    <w:link w:val="TestofumettoCarattere"/>
    <w:uiPriority w:val="99"/>
    <w:semiHidden/>
    <w:unhideWhenUsed/>
    <w:rsid w:val="00AF3F3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3F36"/>
    <w:rPr>
      <w:rFonts w:ascii="Segoe UI" w:hAnsi="Segoe UI" w:cs="Segoe UI"/>
      <w:sz w:val="18"/>
      <w:szCs w:val="18"/>
    </w:rPr>
  </w:style>
  <w:style w:type="paragraph" w:styleId="Nessunaspaziatura">
    <w:name w:val="No Spacing"/>
    <w:uiPriority w:val="1"/>
    <w:qFormat/>
    <w:rsid w:val="00296CCD"/>
    <w:pPr>
      <w:spacing w:after="0" w:line="240" w:lineRule="auto"/>
    </w:pPr>
  </w:style>
  <w:style w:type="paragraph" w:styleId="NormaleWeb">
    <w:name w:val="Normal (Web)"/>
    <w:basedOn w:val="Normale"/>
    <w:uiPriority w:val="99"/>
    <w:unhideWhenUsed/>
    <w:rsid w:val="00385F4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unhideWhenUsed/>
    <w:rsid w:val="00535BCD"/>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rsid w:val="00535BC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7488">
      <w:bodyDiv w:val="1"/>
      <w:marLeft w:val="0"/>
      <w:marRight w:val="0"/>
      <w:marTop w:val="0"/>
      <w:marBottom w:val="0"/>
      <w:divBdr>
        <w:top w:val="none" w:sz="0" w:space="0" w:color="auto"/>
        <w:left w:val="none" w:sz="0" w:space="0" w:color="auto"/>
        <w:bottom w:val="none" w:sz="0" w:space="0" w:color="auto"/>
        <w:right w:val="none" w:sz="0" w:space="0" w:color="auto"/>
      </w:divBdr>
      <w:divsChild>
        <w:div w:id="687369423">
          <w:marLeft w:val="547"/>
          <w:marRight w:val="0"/>
          <w:marTop w:val="0"/>
          <w:marBottom w:val="0"/>
          <w:divBdr>
            <w:top w:val="none" w:sz="0" w:space="0" w:color="auto"/>
            <w:left w:val="none" w:sz="0" w:space="0" w:color="auto"/>
            <w:bottom w:val="none" w:sz="0" w:space="0" w:color="auto"/>
            <w:right w:val="none" w:sz="0" w:space="0" w:color="auto"/>
          </w:divBdr>
        </w:div>
        <w:div w:id="829054234">
          <w:marLeft w:val="547"/>
          <w:marRight w:val="0"/>
          <w:marTop w:val="0"/>
          <w:marBottom w:val="0"/>
          <w:divBdr>
            <w:top w:val="none" w:sz="0" w:space="0" w:color="auto"/>
            <w:left w:val="none" w:sz="0" w:space="0" w:color="auto"/>
            <w:bottom w:val="none" w:sz="0" w:space="0" w:color="auto"/>
            <w:right w:val="none" w:sz="0" w:space="0" w:color="auto"/>
          </w:divBdr>
        </w:div>
        <w:div w:id="839584695">
          <w:marLeft w:val="547"/>
          <w:marRight w:val="0"/>
          <w:marTop w:val="0"/>
          <w:marBottom w:val="0"/>
          <w:divBdr>
            <w:top w:val="none" w:sz="0" w:space="0" w:color="auto"/>
            <w:left w:val="none" w:sz="0" w:space="0" w:color="auto"/>
            <w:bottom w:val="none" w:sz="0" w:space="0" w:color="auto"/>
            <w:right w:val="none" w:sz="0" w:space="0" w:color="auto"/>
          </w:divBdr>
        </w:div>
        <w:div w:id="1381787829">
          <w:marLeft w:val="547"/>
          <w:marRight w:val="0"/>
          <w:marTop w:val="0"/>
          <w:marBottom w:val="0"/>
          <w:divBdr>
            <w:top w:val="none" w:sz="0" w:space="0" w:color="auto"/>
            <w:left w:val="none" w:sz="0" w:space="0" w:color="auto"/>
            <w:bottom w:val="none" w:sz="0" w:space="0" w:color="auto"/>
            <w:right w:val="none" w:sz="0" w:space="0" w:color="auto"/>
          </w:divBdr>
        </w:div>
      </w:divsChild>
    </w:div>
    <w:div w:id="102850423">
      <w:bodyDiv w:val="1"/>
      <w:marLeft w:val="0"/>
      <w:marRight w:val="0"/>
      <w:marTop w:val="0"/>
      <w:marBottom w:val="0"/>
      <w:divBdr>
        <w:top w:val="none" w:sz="0" w:space="0" w:color="auto"/>
        <w:left w:val="none" w:sz="0" w:space="0" w:color="auto"/>
        <w:bottom w:val="none" w:sz="0" w:space="0" w:color="auto"/>
        <w:right w:val="none" w:sz="0" w:space="0" w:color="auto"/>
      </w:divBdr>
    </w:div>
    <w:div w:id="116800046">
      <w:bodyDiv w:val="1"/>
      <w:marLeft w:val="0"/>
      <w:marRight w:val="0"/>
      <w:marTop w:val="0"/>
      <w:marBottom w:val="0"/>
      <w:divBdr>
        <w:top w:val="none" w:sz="0" w:space="0" w:color="auto"/>
        <w:left w:val="none" w:sz="0" w:space="0" w:color="auto"/>
        <w:bottom w:val="none" w:sz="0" w:space="0" w:color="auto"/>
        <w:right w:val="none" w:sz="0" w:space="0" w:color="auto"/>
      </w:divBdr>
      <w:divsChild>
        <w:div w:id="2103141549">
          <w:marLeft w:val="547"/>
          <w:marRight w:val="0"/>
          <w:marTop w:val="0"/>
          <w:marBottom w:val="0"/>
          <w:divBdr>
            <w:top w:val="none" w:sz="0" w:space="0" w:color="auto"/>
            <w:left w:val="none" w:sz="0" w:space="0" w:color="auto"/>
            <w:bottom w:val="none" w:sz="0" w:space="0" w:color="auto"/>
            <w:right w:val="none" w:sz="0" w:space="0" w:color="auto"/>
          </w:divBdr>
        </w:div>
        <w:div w:id="1838691890">
          <w:marLeft w:val="547"/>
          <w:marRight w:val="0"/>
          <w:marTop w:val="0"/>
          <w:marBottom w:val="0"/>
          <w:divBdr>
            <w:top w:val="none" w:sz="0" w:space="0" w:color="auto"/>
            <w:left w:val="none" w:sz="0" w:space="0" w:color="auto"/>
            <w:bottom w:val="none" w:sz="0" w:space="0" w:color="auto"/>
            <w:right w:val="none" w:sz="0" w:space="0" w:color="auto"/>
          </w:divBdr>
        </w:div>
        <w:div w:id="15740521">
          <w:marLeft w:val="547"/>
          <w:marRight w:val="0"/>
          <w:marTop w:val="0"/>
          <w:marBottom w:val="0"/>
          <w:divBdr>
            <w:top w:val="none" w:sz="0" w:space="0" w:color="auto"/>
            <w:left w:val="none" w:sz="0" w:space="0" w:color="auto"/>
            <w:bottom w:val="none" w:sz="0" w:space="0" w:color="auto"/>
            <w:right w:val="none" w:sz="0" w:space="0" w:color="auto"/>
          </w:divBdr>
        </w:div>
      </w:divsChild>
    </w:div>
    <w:div w:id="144784994">
      <w:bodyDiv w:val="1"/>
      <w:marLeft w:val="0"/>
      <w:marRight w:val="0"/>
      <w:marTop w:val="0"/>
      <w:marBottom w:val="0"/>
      <w:divBdr>
        <w:top w:val="none" w:sz="0" w:space="0" w:color="auto"/>
        <w:left w:val="none" w:sz="0" w:space="0" w:color="auto"/>
        <w:bottom w:val="none" w:sz="0" w:space="0" w:color="auto"/>
        <w:right w:val="none" w:sz="0" w:space="0" w:color="auto"/>
      </w:divBdr>
    </w:div>
    <w:div w:id="217976156">
      <w:bodyDiv w:val="1"/>
      <w:marLeft w:val="0"/>
      <w:marRight w:val="0"/>
      <w:marTop w:val="0"/>
      <w:marBottom w:val="0"/>
      <w:divBdr>
        <w:top w:val="none" w:sz="0" w:space="0" w:color="auto"/>
        <w:left w:val="none" w:sz="0" w:space="0" w:color="auto"/>
        <w:bottom w:val="none" w:sz="0" w:space="0" w:color="auto"/>
        <w:right w:val="none" w:sz="0" w:space="0" w:color="auto"/>
      </w:divBdr>
      <w:divsChild>
        <w:div w:id="944508326">
          <w:marLeft w:val="288"/>
          <w:marRight w:val="0"/>
          <w:marTop w:val="0"/>
          <w:marBottom w:val="0"/>
          <w:divBdr>
            <w:top w:val="none" w:sz="0" w:space="0" w:color="auto"/>
            <w:left w:val="none" w:sz="0" w:space="0" w:color="auto"/>
            <w:bottom w:val="none" w:sz="0" w:space="0" w:color="auto"/>
            <w:right w:val="none" w:sz="0" w:space="0" w:color="auto"/>
          </w:divBdr>
        </w:div>
        <w:div w:id="1860436014">
          <w:marLeft w:val="288"/>
          <w:marRight w:val="0"/>
          <w:marTop w:val="0"/>
          <w:marBottom w:val="0"/>
          <w:divBdr>
            <w:top w:val="none" w:sz="0" w:space="0" w:color="auto"/>
            <w:left w:val="none" w:sz="0" w:space="0" w:color="auto"/>
            <w:bottom w:val="none" w:sz="0" w:space="0" w:color="auto"/>
            <w:right w:val="none" w:sz="0" w:space="0" w:color="auto"/>
          </w:divBdr>
        </w:div>
        <w:div w:id="514733971">
          <w:marLeft w:val="288"/>
          <w:marRight w:val="0"/>
          <w:marTop w:val="0"/>
          <w:marBottom w:val="0"/>
          <w:divBdr>
            <w:top w:val="none" w:sz="0" w:space="0" w:color="auto"/>
            <w:left w:val="none" w:sz="0" w:space="0" w:color="auto"/>
            <w:bottom w:val="none" w:sz="0" w:space="0" w:color="auto"/>
            <w:right w:val="none" w:sz="0" w:space="0" w:color="auto"/>
          </w:divBdr>
        </w:div>
        <w:div w:id="310867467">
          <w:marLeft w:val="288"/>
          <w:marRight w:val="0"/>
          <w:marTop w:val="0"/>
          <w:marBottom w:val="0"/>
          <w:divBdr>
            <w:top w:val="none" w:sz="0" w:space="0" w:color="auto"/>
            <w:left w:val="none" w:sz="0" w:space="0" w:color="auto"/>
            <w:bottom w:val="none" w:sz="0" w:space="0" w:color="auto"/>
            <w:right w:val="none" w:sz="0" w:space="0" w:color="auto"/>
          </w:divBdr>
        </w:div>
        <w:div w:id="1395271433">
          <w:marLeft w:val="288"/>
          <w:marRight w:val="0"/>
          <w:marTop w:val="0"/>
          <w:marBottom w:val="0"/>
          <w:divBdr>
            <w:top w:val="none" w:sz="0" w:space="0" w:color="auto"/>
            <w:left w:val="none" w:sz="0" w:space="0" w:color="auto"/>
            <w:bottom w:val="none" w:sz="0" w:space="0" w:color="auto"/>
            <w:right w:val="none" w:sz="0" w:space="0" w:color="auto"/>
          </w:divBdr>
        </w:div>
      </w:divsChild>
    </w:div>
    <w:div w:id="240911017">
      <w:bodyDiv w:val="1"/>
      <w:marLeft w:val="0"/>
      <w:marRight w:val="0"/>
      <w:marTop w:val="0"/>
      <w:marBottom w:val="0"/>
      <w:divBdr>
        <w:top w:val="none" w:sz="0" w:space="0" w:color="auto"/>
        <w:left w:val="none" w:sz="0" w:space="0" w:color="auto"/>
        <w:bottom w:val="none" w:sz="0" w:space="0" w:color="auto"/>
        <w:right w:val="none" w:sz="0" w:space="0" w:color="auto"/>
      </w:divBdr>
    </w:div>
    <w:div w:id="272832566">
      <w:bodyDiv w:val="1"/>
      <w:marLeft w:val="0"/>
      <w:marRight w:val="0"/>
      <w:marTop w:val="0"/>
      <w:marBottom w:val="0"/>
      <w:divBdr>
        <w:top w:val="none" w:sz="0" w:space="0" w:color="auto"/>
        <w:left w:val="none" w:sz="0" w:space="0" w:color="auto"/>
        <w:bottom w:val="none" w:sz="0" w:space="0" w:color="auto"/>
        <w:right w:val="none" w:sz="0" w:space="0" w:color="auto"/>
      </w:divBdr>
    </w:div>
    <w:div w:id="321547359">
      <w:bodyDiv w:val="1"/>
      <w:marLeft w:val="0"/>
      <w:marRight w:val="0"/>
      <w:marTop w:val="0"/>
      <w:marBottom w:val="0"/>
      <w:divBdr>
        <w:top w:val="none" w:sz="0" w:space="0" w:color="auto"/>
        <w:left w:val="none" w:sz="0" w:space="0" w:color="auto"/>
        <w:bottom w:val="none" w:sz="0" w:space="0" w:color="auto"/>
        <w:right w:val="none" w:sz="0" w:space="0" w:color="auto"/>
      </w:divBdr>
    </w:div>
    <w:div w:id="333802704">
      <w:bodyDiv w:val="1"/>
      <w:marLeft w:val="0"/>
      <w:marRight w:val="0"/>
      <w:marTop w:val="0"/>
      <w:marBottom w:val="0"/>
      <w:divBdr>
        <w:top w:val="none" w:sz="0" w:space="0" w:color="auto"/>
        <w:left w:val="none" w:sz="0" w:space="0" w:color="auto"/>
        <w:bottom w:val="none" w:sz="0" w:space="0" w:color="auto"/>
        <w:right w:val="none" w:sz="0" w:space="0" w:color="auto"/>
      </w:divBdr>
      <w:divsChild>
        <w:div w:id="1457328685">
          <w:marLeft w:val="288"/>
          <w:marRight w:val="0"/>
          <w:marTop w:val="0"/>
          <w:marBottom w:val="0"/>
          <w:divBdr>
            <w:top w:val="none" w:sz="0" w:space="0" w:color="auto"/>
            <w:left w:val="none" w:sz="0" w:space="0" w:color="auto"/>
            <w:bottom w:val="none" w:sz="0" w:space="0" w:color="auto"/>
            <w:right w:val="none" w:sz="0" w:space="0" w:color="auto"/>
          </w:divBdr>
        </w:div>
        <w:div w:id="2113932557">
          <w:marLeft w:val="288"/>
          <w:marRight w:val="0"/>
          <w:marTop w:val="0"/>
          <w:marBottom w:val="0"/>
          <w:divBdr>
            <w:top w:val="none" w:sz="0" w:space="0" w:color="auto"/>
            <w:left w:val="none" w:sz="0" w:space="0" w:color="auto"/>
            <w:bottom w:val="none" w:sz="0" w:space="0" w:color="auto"/>
            <w:right w:val="none" w:sz="0" w:space="0" w:color="auto"/>
          </w:divBdr>
        </w:div>
        <w:div w:id="973288335">
          <w:marLeft w:val="288"/>
          <w:marRight w:val="0"/>
          <w:marTop w:val="0"/>
          <w:marBottom w:val="0"/>
          <w:divBdr>
            <w:top w:val="none" w:sz="0" w:space="0" w:color="auto"/>
            <w:left w:val="none" w:sz="0" w:space="0" w:color="auto"/>
            <w:bottom w:val="none" w:sz="0" w:space="0" w:color="auto"/>
            <w:right w:val="none" w:sz="0" w:space="0" w:color="auto"/>
          </w:divBdr>
        </w:div>
        <w:div w:id="985203713">
          <w:marLeft w:val="288"/>
          <w:marRight w:val="0"/>
          <w:marTop w:val="0"/>
          <w:marBottom w:val="0"/>
          <w:divBdr>
            <w:top w:val="none" w:sz="0" w:space="0" w:color="auto"/>
            <w:left w:val="none" w:sz="0" w:space="0" w:color="auto"/>
            <w:bottom w:val="none" w:sz="0" w:space="0" w:color="auto"/>
            <w:right w:val="none" w:sz="0" w:space="0" w:color="auto"/>
          </w:divBdr>
        </w:div>
      </w:divsChild>
    </w:div>
    <w:div w:id="506944892">
      <w:bodyDiv w:val="1"/>
      <w:marLeft w:val="0"/>
      <w:marRight w:val="0"/>
      <w:marTop w:val="0"/>
      <w:marBottom w:val="0"/>
      <w:divBdr>
        <w:top w:val="none" w:sz="0" w:space="0" w:color="auto"/>
        <w:left w:val="none" w:sz="0" w:space="0" w:color="auto"/>
        <w:bottom w:val="none" w:sz="0" w:space="0" w:color="auto"/>
        <w:right w:val="none" w:sz="0" w:space="0" w:color="auto"/>
      </w:divBdr>
    </w:div>
    <w:div w:id="640311915">
      <w:bodyDiv w:val="1"/>
      <w:marLeft w:val="0"/>
      <w:marRight w:val="0"/>
      <w:marTop w:val="0"/>
      <w:marBottom w:val="0"/>
      <w:divBdr>
        <w:top w:val="none" w:sz="0" w:space="0" w:color="auto"/>
        <w:left w:val="none" w:sz="0" w:space="0" w:color="auto"/>
        <w:bottom w:val="none" w:sz="0" w:space="0" w:color="auto"/>
        <w:right w:val="none" w:sz="0" w:space="0" w:color="auto"/>
      </w:divBdr>
    </w:div>
    <w:div w:id="658924698">
      <w:bodyDiv w:val="1"/>
      <w:marLeft w:val="0"/>
      <w:marRight w:val="0"/>
      <w:marTop w:val="0"/>
      <w:marBottom w:val="0"/>
      <w:divBdr>
        <w:top w:val="none" w:sz="0" w:space="0" w:color="auto"/>
        <w:left w:val="none" w:sz="0" w:space="0" w:color="auto"/>
        <w:bottom w:val="none" w:sz="0" w:space="0" w:color="auto"/>
        <w:right w:val="none" w:sz="0" w:space="0" w:color="auto"/>
      </w:divBdr>
      <w:divsChild>
        <w:div w:id="1033576584">
          <w:marLeft w:val="547"/>
          <w:marRight w:val="0"/>
          <w:marTop w:val="0"/>
          <w:marBottom w:val="0"/>
          <w:divBdr>
            <w:top w:val="none" w:sz="0" w:space="0" w:color="auto"/>
            <w:left w:val="none" w:sz="0" w:space="0" w:color="auto"/>
            <w:bottom w:val="none" w:sz="0" w:space="0" w:color="auto"/>
            <w:right w:val="none" w:sz="0" w:space="0" w:color="auto"/>
          </w:divBdr>
        </w:div>
        <w:div w:id="1197961362">
          <w:marLeft w:val="547"/>
          <w:marRight w:val="0"/>
          <w:marTop w:val="0"/>
          <w:marBottom w:val="0"/>
          <w:divBdr>
            <w:top w:val="none" w:sz="0" w:space="0" w:color="auto"/>
            <w:left w:val="none" w:sz="0" w:space="0" w:color="auto"/>
            <w:bottom w:val="none" w:sz="0" w:space="0" w:color="auto"/>
            <w:right w:val="none" w:sz="0" w:space="0" w:color="auto"/>
          </w:divBdr>
        </w:div>
        <w:div w:id="1640110470">
          <w:marLeft w:val="547"/>
          <w:marRight w:val="0"/>
          <w:marTop w:val="0"/>
          <w:marBottom w:val="0"/>
          <w:divBdr>
            <w:top w:val="none" w:sz="0" w:space="0" w:color="auto"/>
            <w:left w:val="none" w:sz="0" w:space="0" w:color="auto"/>
            <w:bottom w:val="none" w:sz="0" w:space="0" w:color="auto"/>
            <w:right w:val="none" w:sz="0" w:space="0" w:color="auto"/>
          </w:divBdr>
        </w:div>
      </w:divsChild>
    </w:div>
    <w:div w:id="713583561">
      <w:bodyDiv w:val="1"/>
      <w:marLeft w:val="0"/>
      <w:marRight w:val="0"/>
      <w:marTop w:val="0"/>
      <w:marBottom w:val="0"/>
      <w:divBdr>
        <w:top w:val="none" w:sz="0" w:space="0" w:color="auto"/>
        <w:left w:val="none" w:sz="0" w:space="0" w:color="auto"/>
        <w:bottom w:val="none" w:sz="0" w:space="0" w:color="auto"/>
        <w:right w:val="none" w:sz="0" w:space="0" w:color="auto"/>
      </w:divBdr>
      <w:divsChild>
        <w:div w:id="1790663110">
          <w:marLeft w:val="547"/>
          <w:marRight w:val="0"/>
          <w:marTop w:val="0"/>
          <w:marBottom w:val="0"/>
          <w:divBdr>
            <w:top w:val="none" w:sz="0" w:space="0" w:color="auto"/>
            <w:left w:val="none" w:sz="0" w:space="0" w:color="auto"/>
            <w:bottom w:val="none" w:sz="0" w:space="0" w:color="auto"/>
            <w:right w:val="none" w:sz="0" w:space="0" w:color="auto"/>
          </w:divBdr>
        </w:div>
        <w:div w:id="921764587">
          <w:marLeft w:val="1166"/>
          <w:marRight w:val="0"/>
          <w:marTop w:val="0"/>
          <w:marBottom w:val="0"/>
          <w:divBdr>
            <w:top w:val="none" w:sz="0" w:space="0" w:color="auto"/>
            <w:left w:val="none" w:sz="0" w:space="0" w:color="auto"/>
            <w:bottom w:val="none" w:sz="0" w:space="0" w:color="auto"/>
            <w:right w:val="none" w:sz="0" w:space="0" w:color="auto"/>
          </w:divBdr>
        </w:div>
        <w:div w:id="654184090">
          <w:marLeft w:val="547"/>
          <w:marRight w:val="0"/>
          <w:marTop w:val="0"/>
          <w:marBottom w:val="0"/>
          <w:divBdr>
            <w:top w:val="none" w:sz="0" w:space="0" w:color="auto"/>
            <w:left w:val="none" w:sz="0" w:space="0" w:color="auto"/>
            <w:bottom w:val="none" w:sz="0" w:space="0" w:color="auto"/>
            <w:right w:val="none" w:sz="0" w:space="0" w:color="auto"/>
          </w:divBdr>
        </w:div>
        <w:div w:id="1726564670">
          <w:marLeft w:val="1166"/>
          <w:marRight w:val="0"/>
          <w:marTop w:val="0"/>
          <w:marBottom w:val="0"/>
          <w:divBdr>
            <w:top w:val="none" w:sz="0" w:space="0" w:color="auto"/>
            <w:left w:val="none" w:sz="0" w:space="0" w:color="auto"/>
            <w:bottom w:val="none" w:sz="0" w:space="0" w:color="auto"/>
            <w:right w:val="none" w:sz="0" w:space="0" w:color="auto"/>
          </w:divBdr>
        </w:div>
        <w:div w:id="1533030137">
          <w:marLeft w:val="547"/>
          <w:marRight w:val="0"/>
          <w:marTop w:val="0"/>
          <w:marBottom w:val="0"/>
          <w:divBdr>
            <w:top w:val="none" w:sz="0" w:space="0" w:color="auto"/>
            <w:left w:val="none" w:sz="0" w:space="0" w:color="auto"/>
            <w:bottom w:val="none" w:sz="0" w:space="0" w:color="auto"/>
            <w:right w:val="none" w:sz="0" w:space="0" w:color="auto"/>
          </w:divBdr>
        </w:div>
      </w:divsChild>
    </w:div>
    <w:div w:id="716201591">
      <w:bodyDiv w:val="1"/>
      <w:marLeft w:val="0"/>
      <w:marRight w:val="0"/>
      <w:marTop w:val="0"/>
      <w:marBottom w:val="0"/>
      <w:divBdr>
        <w:top w:val="none" w:sz="0" w:space="0" w:color="auto"/>
        <w:left w:val="none" w:sz="0" w:space="0" w:color="auto"/>
        <w:bottom w:val="none" w:sz="0" w:space="0" w:color="auto"/>
        <w:right w:val="none" w:sz="0" w:space="0" w:color="auto"/>
      </w:divBdr>
    </w:div>
    <w:div w:id="735205028">
      <w:bodyDiv w:val="1"/>
      <w:marLeft w:val="0"/>
      <w:marRight w:val="0"/>
      <w:marTop w:val="0"/>
      <w:marBottom w:val="0"/>
      <w:divBdr>
        <w:top w:val="none" w:sz="0" w:space="0" w:color="auto"/>
        <w:left w:val="none" w:sz="0" w:space="0" w:color="auto"/>
        <w:bottom w:val="none" w:sz="0" w:space="0" w:color="auto"/>
        <w:right w:val="none" w:sz="0" w:space="0" w:color="auto"/>
      </w:divBdr>
    </w:div>
    <w:div w:id="786966057">
      <w:bodyDiv w:val="1"/>
      <w:marLeft w:val="0"/>
      <w:marRight w:val="0"/>
      <w:marTop w:val="0"/>
      <w:marBottom w:val="0"/>
      <w:divBdr>
        <w:top w:val="none" w:sz="0" w:space="0" w:color="auto"/>
        <w:left w:val="none" w:sz="0" w:space="0" w:color="auto"/>
        <w:bottom w:val="none" w:sz="0" w:space="0" w:color="auto"/>
        <w:right w:val="none" w:sz="0" w:space="0" w:color="auto"/>
      </w:divBdr>
      <w:divsChild>
        <w:div w:id="545261168">
          <w:marLeft w:val="547"/>
          <w:marRight w:val="0"/>
          <w:marTop w:val="0"/>
          <w:marBottom w:val="0"/>
          <w:divBdr>
            <w:top w:val="none" w:sz="0" w:space="0" w:color="auto"/>
            <w:left w:val="none" w:sz="0" w:space="0" w:color="auto"/>
            <w:bottom w:val="none" w:sz="0" w:space="0" w:color="auto"/>
            <w:right w:val="none" w:sz="0" w:space="0" w:color="auto"/>
          </w:divBdr>
        </w:div>
        <w:div w:id="862087025">
          <w:marLeft w:val="547"/>
          <w:marRight w:val="0"/>
          <w:marTop w:val="0"/>
          <w:marBottom w:val="0"/>
          <w:divBdr>
            <w:top w:val="none" w:sz="0" w:space="0" w:color="auto"/>
            <w:left w:val="none" w:sz="0" w:space="0" w:color="auto"/>
            <w:bottom w:val="none" w:sz="0" w:space="0" w:color="auto"/>
            <w:right w:val="none" w:sz="0" w:space="0" w:color="auto"/>
          </w:divBdr>
        </w:div>
        <w:div w:id="881093381">
          <w:marLeft w:val="547"/>
          <w:marRight w:val="0"/>
          <w:marTop w:val="0"/>
          <w:marBottom w:val="0"/>
          <w:divBdr>
            <w:top w:val="none" w:sz="0" w:space="0" w:color="auto"/>
            <w:left w:val="none" w:sz="0" w:space="0" w:color="auto"/>
            <w:bottom w:val="none" w:sz="0" w:space="0" w:color="auto"/>
            <w:right w:val="none" w:sz="0" w:space="0" w:color="auto"/>
          </w:divBdr>
        </w:div>
        <w:div w:id="415636445">
          <w:marLeft w:val="1166"/>
          <w:marRight w:val="0"/>
          <w:marTop w:val="0"/>
          <w:marBottom w:val="0"/>
          <w:divBdr>
            <w:top w:val="none" w:sz="0" w:space="0" w:color="auto"/>
            <w:left w:val="none" w:sz="0" w:space="0" w:color="auto"/>
            <w:bottom w:val="none" w:sz="0" w:space="0" w:color="auto"/>
            <w:right w:val="none" w:sz="0" w:space="0" w:color="auto"/>
          </w:divBdr>
        </w:div>
        <w:div w:id="2120948528">
          <w:marLeft w:val="1166"/>
          <w:marRight w:val="0"/>
          <w:marTop w:val="0"/>
          <w:marBottom w:val="0"/>
          <w:divBdr>
            <w:top w:val="none" w:sz="0" w:space="0" w:color="auto"/>
            <w:left w:val="none" w:sz="0" w:space="0" w:color="auto"/>
            <w:bottom w:val="none" w:sz="0" w:space="0" w:color="auto"/>
            <w:right w:val="none" w:sz="0" w:space="0" w:color="auto"/>
          </w:divBdr>
        </w:div>
        <w:div w:id="2027249350">
          <w:marLeft w:val="1166"/>
          <w:marRight w:val="0"/>
          <w:marTop w:val="0"/>
          <w:marBottom w:val="0"/>
          <w:divBdr>
            <w:top w:val="none" w:sz="0" w:space="0" w:color="auto"/>
            <w:left w:val="none" w:sz="0" w:space="0" w:color="auto"/>
            <w:bottom w:val="none" w:sz="0" w:space="0" w:color="auto"/>
            <w:right w:val="none" w:sz="0" w:space="0" w:color="auto"/>
          </w:divBdr>
        </w:div>
        <w:div w:id="1354500071">
          <w:marLeft w:val="547"/>
          <w:marRight w:val="0"/>
          <w:marTop w:val="0"/>
          <w:marBottom w:val="0"/>
          <w:divBdr>
            <w:top w:val="none" w:sz="0" w:space="0" w:color="auto"/>
            <w:left w:val="none" w:sz="0" w:space="0" w:color="auto"/>
            <w:bottom w:val="none" w:sz="0" w:space="0" w:color="auto"/>
            <w:right w:val="none" w:sz="0" w:space="0" w:color="auto"/>
          </w:divBdr>
        </w:div>
      </w:divsChild>
    </w:div>
    <w:div w:id="885796278">
      <w:bodyDiv w:val="1"/>
      <w:marLeft w:val="0"/>
      <w:marRight w:val="0"/>
      <w:marTop w:val="0"/>
      <w:marBottom w:val="0"/>
      <w:divBdr>
        <w:top w:val="none" w:sz="0" w:space="0" w:color="auto"/>
        <w:left w:val="none" w:sz="0" w:space="0" w:color="auto"/>
        <w:bottom w:val="none" w:sz="0" w:space="0" w:color="auto"/>
        <w:right w:val="none" w:sz="0" w:space="0" w:color="auto"/>
      </w:divBdr>
    </w:div>
    <w:div w:id="947738719">
      <w:bodyDiv w:val="1"/>
      <w:marLeft w:val="0"/>
      <w:marRight w:val="0"/>
      <w:marTop w:val="0"/>
      <w:marBottom w:val="0"/>
      <w:divBdr>
        <w:top w:val="none" w:sz="0" w:space="0" w:color="auto"/>
        <w:left w:val="none" w:sz="0" w:space="0" w:color="auto"/>
        <w:bottom w:val="none" w:sz="0" w:space="0" w:color="auto"/>
        <w:right w:val="none" w:sz="0" w:space="0" w:color="auto"/>
      </w:divBdr>
      <w:divsChild>
        <w:div w:id="106198120">
          <w:marLeft w:val="288"/>
          <w:marRight w:val="0"/>
          <w:marTop w:val="0"/>
          <w:marBottom w:val="0"/>
          <w:divBdr>
            <w:top w:val="none" w:sz="0" w:space="0" w:color="auto"/>
            <w:left w:val="none" w:sz="0" w:space="0" w:color="auto"/>
            <w:bottom w:val="none" w:sz="0" w:space="0" w:color="auto"/>
            <w:right w:val="none" w:sz="0" w:space="0" w:color="auto"/>
          </w:divBdr>
        </w:div>
        <w:div w:id="890463332">
          <w:marLeft w:val="288"/>
          <w:marRight w:val="0"/>
          <w:marTop w:val="0"/>
          <w:marBottom w:val="0"/>
          <w:divBdr>
            <w:top w:val="none" w:sz="0" w:space="0" w:color="auto"/>
            <w:left w:val="none" w:sz="0" w:space="0" w:color="auto"/>
            <w:bottom w:val="none" w:sz="0" w:space="0" w:color="auto"/>
            <w:right w:val="none" w:sz="0" w:space="0" w:color="auto"/>
          </w:divBdr>
        </w:div>
        <w:div w:id="1903564863">
          <w:marLeft w:val="288"/>
          <w:marRight w:val="0"/>
          <w:marTop w:val="0"/>
          <w:marBottom w:val="0"/>
          <w:divBdr>
            <w:top w:val="none" w:sz="0" w:space="0" w:color="auto"/>
            <w:left w:val="none" w:sz="0" w:space="0" w:color="auto"/>
            <w:bottom w:val="none" w:sz="0" w:space="0" w:color="auto"/>
            <w:right w:val="none" w:sz="0" w:space="0" w:color="auto"/>
          </w:divBdr>
        </w:div>
        <w:div w:id="708460533">
          <w:marLeft w:val="288"/>
          <w:marRight w:val="0"/>
          <w:marTop w:val="0"/>
          <w:marBottom w:val="0"/>
          <w:divBdr>
            <w:top w:val="none" w:sz="0" w:space="0" w:color="auto"/>
            <w:left w:val="none" w:sz="0" w:space="0" w:color="auto"/>
            <w:bottom w:val="none" w:sz="0" w:space="0" w:color="auto"/>
            <w:right w:val="none" w:sz="0" w:space="0" w:color="auto"/>
          </w:divBdr>
        </w:div>
        <w:div w:id="1273630883">
          <w:marLeft w:val="288"/>
          <w:marRight w:val="0"/>
          <w:marTop w:val="0"/>
          <w:marBottom w:val="0"/>
          <w:divBdr>
            <w:top w:val="none" w:sz="0" w:space="0" w:color="auto"/>
            <w:left w:val="none" w:sz="0" w:space="0" w:color="auto"/>
            <w:bottom w:val="none" w:sz="0" w:space="0" w:color="auto"/>
            <w:right w:val="none" w:sz="0" w:space="0" w:color="auto"/>
          </w:divBdr>
        </w:div>
      </w:divsChild>
    </w:div>
    <w:div w:id="958683432">
      <w:bodyDiv w:val="1"/>
      <w:marLeft w:val="0"/>
      <w:marRight w:val="0"/>
      <w:marTop w:val="0"/>
      <w:marBottom w:val="0"/>
      <w:divBdr>
        <w:top w:val="none" w:sz="0" w:space="0" w:color="auto"/>
        <w:left w:val="none" w:sz="0" w:space="0" w:color="auto"/>
        <w:bottom w:val="none" w:sz="0" w:space="0" w:color="auto"/>
        <w:right w:val="none" w:sz="0" w:space="0" w:color="auto"/>
      </w:divBdr>
    </w:div>
    <w:div w:id="979843663">
      <w:bodyDiv w:val="1"/>
      <w:marLeft w:val="0"/>
      <w:marRight w:val="0"/>
      <w:marTop w:val="0"/>
      <w:marBottom w:val="0"/>
      <w:divBdr>
        <w:top w:val="none" w:sz="0" w:space="0" w:color="auto"/>
        <w:left w:val="none" w:sz="0" w:space="0" w:color="auto"/>
        <w:bottom w:val="none" w:sz="0" w:space="0" w:color="auto"/>
        <w:right w:val="none" w:sz="0" w:space="0" w:color="auto"/>
      </w:divBdr>
    </w:div>
    <w:div w:id="988217438">
      <w:bodyDiv w:val="1"/>
      <w:marLeft w:val="0"/>
      <w:marRight w:val="0"/>
      <w:marTop w:val="0"/>
      <w:marBottom w:val="0"/>
      <w:divBdr>
        <w:top w:val="none" w:sz="0" w:space="0" w:color="auto"/>
        <w:left w:val="none" w:sz="0" w:space="0" w:color="auto"/>
        <w:bottom w:val="none" w:sz="0" w:space="0" w:color="auto"/>
        <w:right w:val="none" w:sz="0" w:space="0" w:color="auto"/>
      </w:divBdr>
      <w:divsChild>
        <w:div w:id="517622067">
          <w:marLeft w:val="288"/>
          <w:marRight w:val="0"/>
          <w:marTop w:val="0"/>
          <w:marBottom w:val="0"/>
          <w:divBdr>
            <w:top w:val="none" w:sz="0" w:space="0" w:color="auto"/>
            <w:left w:val="none" w:sz="0" w:space="0" w:color="auto"/>
            <w:bottom w:val="none" w:sz="0" w:space="0" w:color="auto"/>
            <w:right w:val="none" w:sz="0" w:space="0" w:color="auto"/>
          </w:divBdr>
        </w:div>
        <w:div w:id="1268153870">
          <w:marLeft w:val="288"/>
          <w:marRight w:val="0"/>
          <w:marTop w:val="0"/>
          <w:marBottom w:val="0"/>
          <w:divBdr>
            <w:top w:val="none" w:sz="0" w:space="0" w:color="auto"/>
            <w:left w:val="none" w:sz="0" w:space="0" w:color="auto"/>
            <w:bottom w:val="none" w:sz="0" w:space="0" w:color="auto"/>
            <w:right w:val="none" w:sz="0" w:space="0" w:color="auto"/>
          </w:divBdr>
        </w:div>
        <w:div w:id="769474381">
          <w:marLeft w:val="288"/>
          <w:marRight w:val="0"/>
          <w:marTop w:val="0"/>
          <w:marBottom w:val="0"/>
          <w:divBdr>
            <w:top w:val="none" w:sz="0" w:space="0" w:color="auto"/>
            <w:left w:val="none" w:sz="0" w:space="0" w:color="auto"/>
            <w:bottom w:val="none" w:sz="0" w:space="0" w:color="auto"/>
            <w:right w:val="none" w:sz="0" w:space="0" w:color="auto"/>
          </w:divBdr>
        </w:div>
        <w:div w:id="2021663438">
          <w:marLeft w:val="922"/>
          <w:marRight w:val="0"/>
          <w:marTop w:val="0"/>
          <w:marBottom w:val="0"/>
          <w:divBdr>
            <w:top w:val="none" w:sz="0" w:space="0" w:color="auto"/>
            <w:left w:val="none" w:sz="0" w:space="0" w:color="auto"/>
            <w:bottom w:val="none" w:sz="0" w:space="0" w:color="auto"/>
            <w:right w:val="none" w:sz="0" w:space="0" w:color="auto"/>
          </w:divBdr>
        </w:div>
        <w:div w:id="846215408">
          <w:marLeft w:val="922"/>
          <w:marRight w:val="0"/>
          <w:marTop w:val="0"/>
          <w:marBottom w:val="0"/>
          <w:divBdr>
            <w:top w:val="none" w:sz="0" w:space="0" w:color="auto"/>
            <w:left w:val="none" w:sz="0" w:space="0" w:color="auto"/>
            <w:bottom w:val="none" w:sz="0" w:space="0" w:color="auto"/>
            <w:right w:val="none" w:sz="0" w:space="0" w:color="auto"/>
          </w:divBdr>
        </w:div>
        <w:div w:id="622081836">
          <w:marLeft w:val="922"/>
          <w:marRight w:val="0"/>
          <w:marTop w:val="0"/>
          <w:marBottom w:val="0"/>
          <w:divBdr>
            <w:top w:val="none" w:sz="0" w:space="0" w:color="auto"/>
            <w:left w:val="none" w:sz="0" w:space="0" w:color="auto"/>
            <w:bottom w:val="none" w:sz="0" w:space="0" w:color="auto"/>
            <w:right w:val="none" w:sz="0" w:space="0" w:color="auto"/>
          </w:divBdr>
        </w:div>
        <w:div w:id="1155759222">
          <w:marLeft w:val="922"/>
          <w:marRight w:val="0"/>
          <w:marTop w:val="0"/>
          <w:marBottom w:val="0"/>
          <w:divBdr>
            <w:top w:val="none" w:sz="0" w:space="0" w:color="auto"/>
            <w:left w:val="none" w:sz="0" w:space="0" w:color="auto"/>
            <w:bottom w:val="none" w:sz="0" w:space="0" w:color="auto"/>
            <w:right w:val="none" w:sz="0" w:space="0" w:color="auto"/>
          </w:divBdr>
        </w:div>
        <w:div w:id="2010714415">
          <w:marLeft w:val="288"/>
          <w:marRight w:val="0"/>
          <w:marTop w:val="0"/>
          <w:marBottom w:val="0"/>
          <w:divBdr>
            <w:top w:val="none" w:sz="0" w:space="0" w:color="auto"/>
            <w:left w:val="none" w:sz="0" w:space="0" w:color="auto"/>
            <w:bottom w:val="none" w:sz="0" w:space="0" w:color="auto"/>
            <w:right w:val="none" w:sz="0" w:space="0" w:color="auto"/>
          </w:divBdr>
        </w:div>
      </w:divsChild>
    </w:div>
    <w:div w:id="1057243001">
      <w:bodyDiv w:val="1"/>
      <w:marLeft w:val="0"/>
      <w:marRight w:val="0"/>
      <w:marTop w:val="0"/>
      <w:marBottom w:val="0"/>
      <w:divBdr>
        <w:top w:val="none" w:sz="0" w:space="0" w:color="auto"/>
        <w:left w:val="none" w:sz="0" w:space="0" w:color="auto"/>
        <w:bottom w:val="none" w:sz="0" w:space="0" w:color="auto"/>
        <w:right w:val="none" w:sz="0" w:space="0" w:color="auto"/>
      </w:divBdr>
    </w:div>
    <w:div w:id="1060056727">
      <w:bodyDiv w:val="1"/>
      <w:marLeft w:val="0"/>
      <w:marRight w:val="0"/>
      <w:marTop w:val="0"/>
      <w:marBottom w:val="0"/>
      <w:divBdr>
        <w:top w:val="none" w:sz="0" w:space="0" w:color="auto"/>
        <w:left w:val="none" w:sz="0" w:space="0" w:color="auto"/>
        <w:bottom w:val="none" w:sz="0" w:space="0" w:color="auto"/>
        <w:right w:val="none" w:sz="0" w:space="0" w:color="auto"/>
      </w:divBdr>
    </w:div>
    <w:div w:id="1098017822">
      <w:bodyDiv w:val="1"/>
      <w:marLeft w:val="0"/>
      <w:marRight w:val="0"/>
      <w:marTop w:val="0"/>
      <w:marBottom w:val="0"/>
      <w:divBdr>
        <w:top w:val="none" w:sz="0" w:space="0" w:color="auto"/>
        <w:left w:val="none" w:sz="0" w:space="0" w:color="auto"/>
        <w:bottom w:val="none" w:sz="0" w:space="0" w:color="auto"/>
        <w:right w:val="none" w:sz="0" w:space="0" w:color="auto"/>
      </w:divBdr>
      <w:divsChild>
        <w:div w:id="740951095">
          <w:marLeft w:val="288"/>
          <w:marRight w:val="0"/>
          <w:marTop w:val="0"/>
          <w:marBottom w:val="0"/>
          <w:divBdr>
            <w:top w:val="none" w:sz="0" w:space="0" w:color="auto"/>
            <w:left w:val="none" w:sz="0" w:space="0" w:color="auto"/>
            <w:bottom w:val="none" w:sz="0" w:space="0" w:color="auto"/>
            <w:right w:val="none" w:sz="0" w:space="0" w:color="auto"/>
          </w:divBdr>
        </w:div>
        <w:div w:id="429743345">
          <w:marLeft w:val="288"/>
          <w:marRight w:val="0"/>
          <w:marTop w:val="0"/>
          <w:marBottom w:val="0"/>
          <w:divBdr>
            <w:top w:val="none" w:sz="0" w:space="0" w:color="auto"/>
            <w:left w:val="none" w:sz="0" w:space="0" w:color="auto"/>
            <w:bottom w:val="none" w:sz="0" w:space="0" w:color="auto"/>
            <w:right w:val="none" w:sz="0" w:space="0" w:color="auto"/>
          </w:divBdr>
        </w:div>
        <w:div w:id="719475125">
          <w:marLeft w:val="288"/>
          <w:marRight w:val="0"/>
          <w:marTop w:val="0"/>
          <w:marBottom w:val="0"/>
          <w:divBdr>
            <w:top w:val="none" w:sz="0" w:space="0" w:color="auto"/>
            <w:left w:val="none" w:sz="0" w:space="0" w:color="auto"/>
            <w:bottom w:val="none" w:sz="0" w:space="0" w:color="auto"/>
            <w:right w:val="none" w:sz="0" w:space="0" w:color="auto"/>
          </w:divBdr>
        </w:div>
        <w:div w:id="1769690158">
          <w:marLeft w:val="288"/>
          <w:marRight w:val="0"/>
          <w:marTop w:val="0"/>
          <w:marBottom w:val="0"/>
          <w:divBdr>
            <w:top w:val="none" w:sz="0" w:space="0" w:color="auto"/>
            <w:left w:val="none" w:sz="0" w:space="0" w:color="auto"/>
            <w:bottom w:val="none" w:sz="0" w:space="0" w:color="auto"/>
            <w:right w:val="none" w:sz="0" w:space="0" w:color="auto"/>
          </w:divBdr>
        </w:div>
        <w:div w:id="659774165">
          <w:marLeft w:val="288"/>
          <w:marRight w:val="0"/>
          <w:marTop w:val="0"/>
          <w:marBottom w:val="0"/>
          <w:divBdr>
            <w:top w:val="none" w:sz="0" w:space="0" w:color="auto"/>
            <w:left w:val="none" w:sz="0" w:space="0" w:color="auto"/>
            <w:bottom w:val="none" w:sz="0" w:space="0" w:color="auto"/>
            <w:right w:val="none" w:sz="0" w:space="0" w:color="auto"/>
          </w:divBdr>
        </w:div>
      </w:divsChild>
    </w:div>
    <w:div w:id="1114135125">
      <w:bodyDiv w:val="1"/>
      <w:marLeft w:val="0"/>
      <w:marRight w:val="0"/>
      <w:marTop w:val="0"/>
      <w:marBottom w:val="0"/>
      <w:divBdr>
        <w:top w:val="none" w:sz="0" w:space="0" w:color="auto"/>
        <w:left w:val="none" w:sz="0" w:space="0" w:color="auto"/>
        <w:bottom w:val="none" w:sz="0" w:space="0" w:color="auto"/>
        <w:right w:val="none" w:sz="0" w:space="0" w:color="auto"/>
      </w:divBdr>
    </w:div>
    <w:div w:id="1319503606">
      <w:bodyDiv w:val="1"/>
      <w:marLeft w:val="0"/>
      <w:marRight w:val="0"/>
      <w:marTop w:val="0"/>
      <w:marBottom w:val="0"/>
      <w:divBdr>
        <w:top w:val="none" w:sz="0" w:space="0" w:color="auto"/>
        <w:left w:val="none" w:sz="0" w:space="0" w:color="auto"/>
        <w:bottom w:val="none" w:sz="0" w:space="0" w:color="auto"/>
        <w:right w:val="none" w:sz="0" w:space="0" w:color="auto"/>
      </w:divBdr>
      <w:divsChild>
        <w:div w:id="273902046">
          <w:marLeft w:val="288"/>
          <w:marRight w:val="0"/>
          <w:marTop w:val="0"/>
          <w:marBottom w:val="0"/>
          <w:divBdr>
            <w:top w:val="none" w:sz="0" w:space="0" w:color="auto"/>
            <w:left w:val="none" w:sz="0" w:space="0" w:color="auto"/>
            <w:bottom w:val="none" w:sz="0" w:space="0" w:color="auto"/>
            <w:right w:val="none" w:sz="0" w:space="0" w:color="auto"/>
          </w:divBdr>
        </w:div>
        <w:div w:id="1346830558">
          <w:marLeft w:val="288"/>
          <w:marRight w:val="0"/>
          <w:marTop w:val="0"/>
          <w:marBottom w:val="0"/>
          <w:divBdr>
            <w:top w:val="none" w:sz="0" w:space="0" w:color="auto"/>
            <w:left w:val="none" w:sz="0" w:space="0" w:color="auto"/>
            <w:bottom w:val="none" w:sz="0" w:space="0" w:color="auto"/>
            <w:right w:val="none" w:sz="0" w:space="0" w:color="auto"/>
          </w:divBdr>
        </w:div>
        <w:div w:id="2019962019">
          <w:marLeft w:val="288"/>
          <w:marRight w:val="0"/>
          <w:marTop w:val="0"/>
          <w:marBottom w:val="0"/>
          <w:divBdr>
            <w:top w:val="none" w:sz="0" w:space="0" w:color="auto"/>
            <w:left w:val="none" w:sz="0" w:space="0" w:color="auto"/>
            <w:bottom w:val="none" w:sz="0" w:space="0" w:color="auto"/>
            <w:right w:val="none" w:sz="0" w:space="0" w:color="auto"/>
          </w:divBdr>
        </w:div>
        <w:div w:id="799878381">
          <w:marLeft w:val="922"/>
          <w:marRight w:val="0"/>
          <w:marTop w:val="0"/>
          <w:marBottom w:val="0"/>
          <w:divBdr>
            <w:top w:val="none" w:sz="0" w:space="0" w:color="auto"/>
            <w:left w:val="none" w:sz="0" w:space="0" w:color="auto"/>
            <w:bottom w:val="none" w:sz="0" w:space="0" w:color="auto"/>
            <w:right w:val="none" w:sz="0" w:space="0" w:color="auto"/>
          </w:divBdr>
        </w:div>
        <w:div w:id="1334184415">
          <w:marLeft w:val="922"/>
          <w:marRight w:val="0"/>
          <w:marTop w:val="0"/>
          <w:marBottom w:val="0"/>
          <w:divBdr>
            <w:top w:val="none" w:sz="0" w:space="0" w:color="auto"/>
            <w:left w:val="none" w:sz="0" w:space="0" w:color="auto"/>
            <w:bottom w:val="none" w:sz="0" w:space="0" w:color="auto"/>
            <w:right w:val="none" w:sz="0" w:space="0" w:color="auto"/>
          </w:divBdr>
        </w:div>
        <w:div w:id="1698506431">
          <w:marLeft w:val="922"/>
          <w:marRight w:val="0"/>
          <w:marTop w:val="0"/>
          <w:marBottom w:val="0"/>
          <w:divBdr>
            <w:top w:val="none" w:sz="0" w:space="0" w:color="auto"/>
            <w:left w:val="none" w:sz="0" w:space="0" w:color="auto"/>
            <w:bottom w:val="none" w:sz="0" w:space="0" w:color="auto"/>
            <w:right w:val="none" w:sz="0" w:space="0" w:color="auto"/>
          </w:divBdr>
        </w:div>
        <w:div w:id="1110011342">
          <w:marLeft w:val="922"/>
          <w:marRight w:val="0"/>
          <w:marTop w:val="0"/>
          <w:marBottom w:val="0"/>
          <w:divBdr>
            <w:top w:val="none" w:sz="0" w:space="0" w:color="auto"/>
            <w:left w:val="none" w:sz="0" w:space="0" w:color="auto"/>
            <w:bottom w:val="none" w:sz="0" w:space="0" w:color="auto"/>
            <w:right w:val="none" w:sz="0" w:space="0" w:color="auto"/>
          </w:divBdr>
        </w:div>
        <w:div w:id="458231448">
          <w:marLeft w:val="922"/>
          <w:marRight w:val="0"/>
          <w:marTop w:val="0"/>
          <w:marBottom w:val="0"/>
          <w:divBdr>
            <w:top w:val="none" w:sz="0" w:space="0" w:color="auto"/>
            <w:left w:val="none" w:sz="0" w:space="0" w:color="auto"/>
            <w:bottom w:val="none" w:sz="0" w:space="0" w:color="auto"/>
            <w:right w:val="none" w:sz="0" w:space="0" w:color="auto"/>
          </w:divBdr>
        </w:div>
        <w:div w:id="1322583485">
          <w:marLeft w:val="922"/>
          <w:marRight w:val="0"/>
          <w:marTop w:val="0"/>
          <w:marBottom w:val="0"/>
          <w:divBdr>
            <w:top w:val="none" w:sz="0" w:space="0" w:color="auto"/>
            <w:left w:val="none" w:sz="0" w:space="0" w:color="auto"/>
            <w:bottom w:val="none" w:sz="0" w:space="0" w:color="auto"/>
            <w:right w:val="none" w:sz="0" w:space="0" w:color="auto"/>
          </w:divBdr>
        </w:div>
        <w:div w:id="912471906">
          <w:marLeft w:val="288"/>
          <w:marRight w:val="0"/>
          <w:marTop w:val="0"/>
          <w:marBottom w:val="0"/>
          <w:divBdr>
            <w:top w:val="none" w:sz="0" w:space="0" w:color="auto"/>
            <w:left w:val="none" w:sz="0" w:space="0" w:color="auto"/>
            <w:bottom w:val="none" w:sz="0" w:space="0" w:color="auto"/>
            <w:right w:val="none" w:sz="0" w:space="0" w:color="auto"/>
          </w:divBdr>
        </w:div>
      </w:divsChild>
    </w:div>
    <w:div w:id="1357921516">
      <w:bodyDiv w:val="1"/>
      <w:marLeft w:val="0"/>
      <w:marRight w:val="0"/>
      <w:marTop w:val="0"/>
      <w:marBottom w:val="0"/>
      <w:divBdr>
        <w:top w:val="none" w:sz="0" w:space="0" w:color="auto"/>
        <w:left w:val="none" w:sz="0" w:space="0" w:color="auto"/>
        <w:bottom w:val="none" w:sz="0" w:space="0" w:color="auto"/>
        <w:right w:val="none" w:sz="0" w:space="0" w:color="auto"/>
      </w:divBdr>
      <w:divsChild>
        <w:div w:id="1070466658">
          <w:marLeft w:val="547"/>
          <w:marRight w:val="0"/>
          <w:marTop w:val="0"/>
          <w:marBottom w:val="0"/>
          <w:divBdr>
            <w:top w:val="none" w:sz="0" w:space="0" w:color="auto"/>
            <w:left w:val="none" w:sz="0" w:space="0" w:color="auto"/>
            <w:bottom w:val="none" w:sz="0" w:space="0" w:color="auto"/>
            <w:right w:val="none" w:sz="0" w:space="0" w:color="auto"/>
          </w:divBdr>
        </w:div>
        <w:div w:id="9912041">
          <w:marLeft w:val="547"/>
          <w:marRight w:val="0"/>
          <w:marTop w:val="0"/>
          <w:marBottom w:val="0"/>
          <w:divBdr>
            <w:top w:val="none" w:sz="0" w:space="0" w:color="auto"/>
            <w:left w:val="none" w:sz="0" w:space="0" w:color="auto"/>
            <w:bottom w:val="none" w:sz="0" w:space="0" w:color="auto"/>
            <w:right w:val="none" w:sz="0" w:space="0" w:color="auto"/>
          </w:divBdr>
        </w:div>
        <w:div w:id="97870741">
          <w:marLeft w:val="547"/>
          <w:marRight w:val="0"/>
          <w:marTop w:val="0"/>
          <w:marBottom w:val="0"/>
          <w:divBdr>
            <w:top w:val="none" w:sz="0" w:space="0" w:color="auto"/>
            <w:left w:val="none" w:sz="0" w:space="0" w:color="auto"/>
            <w:bottom w:val="none" w:sz="0" w:space="0" w:color="auto"/>
            <w:right w:val="none" w:sz="0" w:space="0" w:color="auto"/>
          </w:divBdr>
        </w:div>
        <w:div w:id="1422332987">
          <w:marLeft w:val="547"/>
          <w:marRight w:val="0"/>
          <w:marTop w:val="0"/>
          <w:marBottom w:val="0"/>
          <w:divBdr>
            <w:top w:val="none" w:sz="0" w:space="0" w:color="auto"/>
            <w:left w:val="none" w:sz="0" w:space="0" w:color="auto"/>
            <w:bottom w:val="none" w:sz="0" w:space="0" w:color="auto"/>
            <w:right w:val="none" w:sz="0" w:space="0" w:color="auto"/>
          </w:divBdr>
        </w:div>
        <w:div w:id="270206835">
          <w:marLeft w:val="547"/>
          <w:marRight w:val="0"/>
          <w:marTop w:val="0"/>
          <w:marBottom w:val="0"/>
          <w:divBdr>
            <w:top w:val="none" w:sz="0" w:space="0" w:color="auto"/>
            <w:left w:val="none" w:sz="0" w:space="0" w:color="auto"/>
            <w:bottom w:val="none" w:sz="0" w:space="0" w:color="auto"/>
            <w:right w:val="none" w:sz="0" w:space="0" w:color="auto"/>
          </w:divBdr>
        </w:div>
      </w:divsChild>
    </w:div>
    <w:div w:id="1380739226">
      <w:bodyDiv w:val="1"/>
      <w:marLeft w:val="0"/>
      <w:marRight w:val="0"/>
      <w:marTop w:val="0"/>
      <w:marBottom w:val="0"/>
      <w:divBdr>
        <w:top w:val="none" w:sz="0" w:space="0" w:color="auto"/>
        <w:left w:val="none" w:sz="0" w:space="0" w:color="auto"/>
        <w:bottom w:val="none" w:sz="0" w:space="0" w:color="auto"/>
        <w:right w:val="none" w:sz="0" w:space="0" w:color="auto"/>
      </w:divBdr>
    </w:div>
    <w:div w:id="1442990516">
      <w:bodyDiv w:val="1"/>
      <w:marLeft w:val="0"/>
      <w:marRight w:val="0"/>
      <w:marTop w:val="0"/>
      <w:marBottom w:val="0"/>
      <w:divBdr>
        <w:top w:val="none" w:sz="0" w:space="0" w:color="auto"/>
        <w:left w:val="none" w:sz="0" w:space="0" w:color="auto"/>
        <w:bottom w:val="none" w:sz="0" w:space="0" w:color="auto"/>
        <w:right w:val="none" w:sz="0" w:space="0" w:color="auto"/>
      </w:divBdr>
    </w:div>
    <w:div w:id="1451975811">
      <w:bodyDiv w:val="1"/>
      <w:marLeft w:val="0"/>
      <w:marRight w:val="0"/>
      <w:marTop w:val="0"/>
      <w:marBottom w:val="0"/>
      <w:divBdr>
        <w:top w:val="none" w:sz="0" w:space="0" w:color="auto"/>
        <w:left w:val="none" w:sz="0" w:space="0" w:color="auto"/>
        <w:bottom w:val="none" w:sz="0" w:space="0" w:color="auto"/>
        <w:right w:val="none" w:sz="0" w:space="0" w:color="auto"/>
      </w:divBdr>
      <w:divsChild>
        <w:div w:id="1187913346">
          <w:marLeft w:val="288"/>
          <w:marRight w:val="0"/>
          <w:marTop w:val="0"/>
          <w:marBottom w:val="0"/>
          <w:divBdr>
            <w:top w:val="none" w:sz="0" w:space="0" w:color="auto"/>
            <w:left w:val="none" w:sz="0" w:space="0" w:color="auto"/>
            <w:bottom w:val="none" w:sz="0" w:space="0" w:color="auto"/>
            <w:right w:val="none" w:sz="0" w:space="0" w:color="auto"/>
          </w:divBdr>
        </w:div>
        <w:div w:id="581374708">
          <w:marLeft w:val="288"/>
          <w:marRight w:val="0"/>
          <w:marTop w:val="0"/>
          <w:marBottom w:val="0"/>
          <w:divBdr>
            <w:top w:val="none" w:sz="0" w:space="0" w:color="auto"/>
            <w:left w:val="none" w:sz="0" w:space="0" w:color="auto"/>
            <w:bottom w:val="none" w:sz="0" w:space="0" w:color="auto"/>
            <w:right w:val="none" w:sz="0" w:space="0" w:color="auto"/>
          </w:divBdr>
        </w:div>
        <w:div w:id="1835534701">
          <w:marLeft w:val="288"/>
          <w:marRight w:val="0"/>
          <w:marTop w:val="0"/>
          <w:marBottom w:val="0"/>
          <w:divBdr>
            <w:top w:val="none" w:sz="0" w:space="0" w:color="auto"/>
            <w:left w:val="none" w:sz="0" w:space="0" w:color="auto"/>
            <w:bottom w:val="none" w:sz="0" w:space="0" w:color="auto"/>
            <w:right w:val="none" w:sz="0" w:space="0" w:color="auto"/>
          </w:divBdr>
        </w:div>
        <w:div w:id="933393784">
          <w:marLeft w:val="922"/>
          <w:marRight w:val="0"/>
          <w:marTop w:val="0"/>
          <w:marBottom w:val="0"/>
          <w:divBdr>
            <w:top w:val="none" w:sz="0" w:space="0" w:color="auto"/>
            <w:left w:val="none" w:sz="0" w:space="0" w:color="auto"/>
            <w:bottom w:val="none" w:sz="0" w:space="0" w:color="auto"/>
            <w:right w:val="none" w:sz="0" w:space="0" w:color="auto"/>
          </w:divBdr>
        </w:div>
        <w:div w:id="399256223">
          <w:marLeft w:val="922"/>
          <w:marRight w:val="0"/>
          <w:marTop w:val="0"/>
          <w:marBottom w:val="0"/>
          <w:divBdr>
            <w:top w:val="none" w:sz="0" w:space="0" w:color="auto"/>
            <w:left w:val="none" w:sz="0" w:space="0" w:color="auto"/>
            <w:bottom w:val="none" w:sz="0" w:space="0" w:color="auto"/>
            <w:right w:val="none" w:sz="0" w:space="0" w:color="auto"/>
          </w:divBdr>
        </w:div>
        <w:div w:id="1286813746">
          <w:marLeft w:val="922"/>
          <w:marRight w:val="0"/>
          <w:marTop w:val="0"/>
          <w:marBottom w:val="0"/>
          <w:divBdr>
            <w:top w:val="none" w:sz="0" w:space="0" w:color="auto"/>
            <w:left w:val="none" w:sz="0" w:space="0" w:color="auto"/>
            <w:bottom w:val="none" w:sz="0" w:space="0" w:color="auto"/>
            <w:right w:val="none" w:sz="0" w:space="0" w:color="auto"/>
          </w:divBdr>
        </w:div>
        <w:div w:id="656880772">
          <w:marLeft w:val="922"/>
          <w:marRight w:val="0"/>
          <w:marTop w:val="0"/>
          <w:marBottom w:val="0"/>
          <w:divBdr>
            <w:top w:val="none" w:sz="0" w:space="0" w:color="auto"/>
            <w:left w:val="none" w:sz="0" w:space="0" w:color="auto"/>
            <w:bottom w:val="none" w:sz="0" w:space="0" w:color="auto"/>
            <w:right w:val="none" w:sz="0" w:space="0" w:color="auto"/>
          </w:divBdr>
        </w:div>
        <w:div w:id="1928270454">
          <w:marLeft w:val="288"/>
          <w:marRight w:val="0"/>
          <w:marTop w:val="0"/>
          <w:marBottom w:val="0"/>
          <w:divBdr>
            <w:top w:val="none" w:sz="0" w:space="0" w:color="auto"/>
            <w:left w:val="none" w:sz="0" w:space="0" w:color="auto"/>
            <w:bottom w:val="none" w:sz="0" w:space="0" w:color="auto"/>
            <w:right w:val="none" w:sz="0" w:space="0" w:color="auto"/>
          </w:divBdr>
        </w:div>
      </w:divsChild>
    </w:div>
    <w:div w:id="1512144133">
      <w:bodyDiv w:val="1"/>
      <w:marLeft w:val="0"/>
      <w:marRight w:val="0"/>
      <w:marTop w:val="0"/>
      <w:marBottom w:val="0"/>
      <w:divBdr>
        <w:top w:val="none" w:sz="0" w:space="0" w:color="auto"/>
        <w:left w:val="none" w:sz="0" w:space="0" w:color="auto"/>
        <w:bottom w:val="none" w:sz="0" w:space="0" w:color="auto"/>
        <w:right w:val="none" w:sz="0" w:space="0" w:color="auto"/>
      </w:divBdr>
    </w:div>
    <w:div w:id="1574899024">
      <w:bodyDiv w:val="1"/>
      <w:marLeft w:val="0"/>
      <w:marRight w:val="0"/>
      <w:marTop w:val="0"/>
      <w:marBottom w:val="0"/>
      <w:divBdr>
        <w:top w:val="none" w:sz="0" w:space="0" w:color="auto"/>
        <w:left w:val="none" w:sz="0" w:space="0" w:color="auto"/>
        <w:bottom w:val="none" w:sz="0" w:space="0" w:color="auto"/>
        <w:right w:val="none" w:sz="0" w:space="0" w:color="auto"/>
      </w:divBdr>
    </w:div>
    <w:div w:id="1954970760">
      <w:bodyDiv w:val="1"/>
      <w:marLeft w:val="0"/>
      <w:marRight w:val="0"/>
      <w:marTop w:val="0"/>
      <w:marBottom w:val="0"/>
      <w:divBdr>
        <w:top w:val="none" w:sz="0" w:space="0" w:color="auto"/>
        <w:left w:val="none" w:sz="0" w:space="0" w:color="auto"/>
        <w:bottom w:val="none" w:sz="0" w:space="0" w:color="auto"/>
        <w:right w:val="none" w:sz="0" w:space="0" w:color="auto"/>
      </w:divBdr>
    </w:div>
    <w:div w:id="1967467590">
      <w:bodyDiv w:val="1"/>
      <w:marLeft w:val="0"/>
      <w:marRight w:val="0"/>
      <w:marTop w:val="0"/>
      <w:marBottom w:val="0"/>
      <w:divBdr>
        <w:top w:val="none" w:sz="0" w:space="0" w:color="auto"/>
        <w:left w:val="none" w:sz="0" w:space="0" w:color="auto"/>
        <w:bottom w:val="none" w:sz="0" w:space="0" w:color="auto"/>
        <w:right w:val="none" w:sz="0" w:space="0" w:color="auto"/>
      </w:divBdr>
    </w:div>
    <w:div w:id="2065905660">
      <w:bodyDiv w:val="1"/>
      <w:marLeft w:val="0"/>
      <w:marRight w:val="0"/>
      <w:marTop w:val="0"/>
      <w:marBottom w:val="0"/>
      <w:divBdr>
        <w:top w:val="none" w:sz="0" w:space="0" w:color="auto"/>
        <w:left w:val="none" w:sz="0" w:space="0" w:color="auto"/>
        <w:bottom w:val="none" w:sz="0" w:space="0" w:color="auto"/>
        <w:right w:val="none" w:sz="0" w:space="0" w:color="auto"/>
      </w:divBdr>
    </w:div>
    <w:div w:id="212175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3827</Words>
  <Characters>21820</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Stefano</cp:lastModifiedBy>
  <cp:revision>3</cp:revision>
  <dcterms:created xsi:type="dcterms:W3CDTF">2017-04-03T07:54:00Z</dcterms:created>
  <dcterms:modified xsi:type="dcterms:W3CDTF">2017-04-04T13:55:00Z</dcterms:modified>
</cp:coreProperties>
</file>